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60E230" w14:textId="77777777" w:rsidR="00063394" w:rsidRPr="00440277" w:rsidRDefault="00FB5F59" w:rsidP="00063394">
      <w:pPr>
        <w:spacing w:after="0" w:line="240" w:lineRule="auto"/>
        <w:rPr>
          <w:rFonts w:ascii="Aileron Heavy" w:hAnsi="Aileron Heavy"/>
          <w:color w:val="0A2342" w:themeColor="text1"/>
          <w:sz w:val="32"/>
          <w:szCs w:val="32"/>
        </w:rPr>
      </w:pPr>
      <w:r w:rsidRPr="00440277">
        <w:rPr>
          <w:rFonts w:ascii="Aileron Heavy" w:hAnsi="Aileron Heavy"/>
          <w:color w:val="0A2342" w:themeColor="text1"/>
          <w:sz w:val="32"/>
          <w:szCs w:val="32"/>
        </w:rPr>
        <w:t>Bipartisan Commission on Biodefense</w:t>
      </w:r>
    </w:p>
    <w:p w14:paraId="1D474975" w14:textId="45FDD1A8" w:rsidR="00FB5F59" w:rsidRPr="00440277" w:rsidRDefault="006067AE" w:rsidP="00063394">
      <w:pPr>
        <w:spacing w:after="0" w:line="240" w:lineRule="auto"/>
        <w:rPr>
          <w:rFonts w:ascii="Aileron Heavy" w:hAnsi="Aileron Heavy"/>
          <w:color w:val="0A2342" w:themeColor="text1"/>
          <w:sz w:val="32"/>
          <w:szCs w:val="32"/>
        </w:rPr>
      </w:pPr>
      <w:r w:rsidRPr="00440277">
        <w:rPr>
          <w:rFonts w:ascii="Aileron Heavy" w:hAnsi="Aileron Heavy"/>
          <w:color w:val="0A2342" w:themeColor="text1"/>
          <w:sz w:val="32"/>
          <w:szCs w:val="32"/>
        </w:rPr>
        <w:t xml:space="preserve">Statement of </w:t>
      </w:r>
      <w:r w:rsidR="00FB5F59" w:rsidRPr="00440277">
        <w:rPr>
          <w:rFonts w:ascii="Aileron Heavy" w:hAnsi="Aileron Heavy"/>
          <w:color w:val="0A2342" w:themeColor="text1"/>
          <w:sz w:val="32"/>
          <w:szCs w:val="32"/>
        </w:rPr>
        <w:t xml:space="preserve">Recommendations </w:t>
      </w:r>
    </w:p>
    <w:p w14:paraId="78770BC4" w14:textId="77777777" w:rsidR="00063394" w:rsidRDefault="00063394" w:rsidP="00063394">
      <w:pPr>
        <w:spacing w:after="0" w:line="240" w:lineRule="auto"/>
        <w:rPr>
          <w:rFonts w:ascii="Aileron" w:hAnsi="Aileron"/>
          <w:color w:val="0A2342" w:themeColor="text1"/>
          <w:sz w:val="32"/>
          <w:szCs w:val="32"/>
        </w:rPr>
      </w:pPr>
    </w:p>
    <w:p w14:paraId="3A2C4A74" w14:textId="0A0B471B" w:rsidR="006067AE" w:rsidRPr="00440277" w:rsidRDefault="006067AE" w:rsidP="00063394">
      <w:pPr>
        <w:spacing w:after="0" w:line="240" w:lineRule="auto"/>
        <w:rPr>
          <w:rFonts w:ascii="Aileron" w:hAnsi="Aileron"/>
          <w:i/>
          <w:color w:val="0A2342" w:themeColor="text1"/>
          <w:sz w:val="24"/>
          <w:szCs w:val="24"/>
        </w:rPr>
      </w:pPr>
      <w:r w:rsidRPr="00440277">
        <w:rPr>
          <w:rFonts w:ascii="Aileron" w:hAnsi="Aileron"/>
          <w:i/>
          <w:color w:val="0A2342" w:themeColor="text1"/>
          <w:sz w:val="24"/>
          <w:szCs w:val="24"/>
        </w:rPr>
        <w:t>Based on Meeting of the Bipartisan Commission on Biodefense</w:t>
      </w:r>
    </w:p>
    <w:p w14:paraId="6DB395AC" w14:textId="7341FC85" w:rsidR="00063394" w:rsidRPr="00440277" w:rsidRDefault="00063394" w:rsidP="00063394">
      <w:pPr>
        <w:spacing w:after="0" w:line="240" w:lineRule="auto"/>
        <w:rPr>
          <w:rFonts w:ascii="Aileron" w:hAnsi="Aileron"/>
          <w:i/>
          <w:color w:val="0A2342" w:themeColor="text1"/>
          <w:sz w:val="24"/>
          <w:szCs w:val="24"/>
        </w:rPr>
      </w:pPr>
      <w:r w:rsidRPr="00440277">
        <w:rPr>
          <w:rFonts w:ascii="Aileron" w:hAnsi="Aileron"/>
          <w:i/>
          <w:color w:val="0A2342" w:themeColor="text1"/>
          <w:sz w:val="24"/>
          <w:szCs w:val="24"/>
        </w:rPr>
        <w:t>“Too Great a Thing to Leave Undone: Defense of Agriculture”</w:t>
      </w:r>
    </w:p>
    <w:p w14:paraId="4EFC7B4B" w14:textId="3E2B8DDA" w:rsidR="00063394" w:rsidRPr="00440277" w:rsidRDefault="00063394" w:rsidP="00063394">
      <w:pPr>
        <w:spacing w:after="0" w:line="240" w:lineRule="auto"/>
        <w:rPr>
          <w:rFonts w:ascii="Aileron" w:hAnsi="Aileron"/>
          <w:i/>
          <w:color w:val="0A2342" w:themeColor="text1"/>
          <w:sz w:val="24"/>
          <w:szCs w:val="24"/>
        </w:rPr>
      </w:pPr>
      <w:r w:rsidRPr="00440277">
        <w:rPr>
          <w:rFonts w:ascii="Aileron" w:hAnsi="Aileron"/>
          <w:i/>
          <w:color w:val="0A2342" w:themeColor="text1"/>
          <w:sz w:val="24"/>
          <w:szCs w:val="24"/>
        </w:rPr>
        <w:t>Tuesday, November 5, 2019</w:t>
      </w:r>
      <w:r w:rsidR="00D30369" w:rsidRPr="00440277">
        <w:rPr>
          <w:rFonts w:ascii="Aileron" w:hAnsi="Aileron"/>
          <w:i/>
          <w:color w:val="0A2342" w:themeColor="text1"/>
          <w:sz w:val="24"/>
          <w:szCs w:val="24"/>
        </w:rPr>
        <w:t xml:space="preserve"> at </w:t>
      </w:r>
      <w:r w:rsidRPr="00440277">
        <w:rPr>
          <w:rFonts w:ascii="Aileron" w:hAnsi="Aileron"/>
          <w:i/>
          <w:color w:val="0A2342" w:themeColor="text1"/>
          <w:sz w:val="24"/>
          <w:szCs w:val="24"/>
        </w:rPr>
        <w:t>Colorado State University</w:t>
      </w:r>
    </w:p>
    <w:p w14:paraId="50B6A5E9" w14:textId="0A07BA5C" w:rsidR="00D30369" w:rsidRDefault="00D30369" w:rsidP="00063394">
      <w:pPr>
        <w:spacing w:after="0" w:line="240" w:lineRule="auto"/>
        <w:rPr>
          <w:rFonts w:ascii="Aileron" w:hAnsi="Aileron"/>
          <w:color w:val="0A2342" w:themeColor="text1"/>
          <w:sz w:val="32"/>
          <w:szCs w:val="32"/>
        </w:rPr>
      </w:pPr>
    </w:p>
    <w:p w14:paraId="20644525" w14:textId="77777777" w:rsidR="00D30369" w:rsidRPr="00D30369" w:rsidRDefault="00D30369" w:rsidP="00440277">
      <w:pPr>
        <w:spacing w:after="0" w:line="240" w:lineRule="auto"/>
        <w:jc w:val="both"/>
        <w:rPr>
          <w:rFonts w:ascii="Aileron" w:hAnsi="Aileron"/>
          <w:sz w:val="24"/>
          <w:szCs w:val="24"/>
        </w:rPr>
      </w:pPr>
      <w:r w:rsidRPr="00D30369">
        <w:rPr>
          <w:rFonts w:ascii="Aileron" w:hAnsi="Aileron"/>
          <w:sz w:val="24"/>
          <w:szCs w:val="24"/>
        </w:rPr>
        <w:t>On November 5, 2019, the Bipartisan Commission on Biodefense convened a meeting,</w:t>
      </w:r>
      <w:r w:rsidRPr="00D30369">
        <w:rPr>
          <w:rFonts w:ascii="Calibri" w:hAnsi="Calibri" w:cs="Calibri"/>
          <w:sz w:val="24"/>
          <w:szCs w:val="24"/>
        </w:rPr>
        <w:t> </w:t>
      </w:r>
      <w:r w:rsidRPr="00D30369">
        <w:rPr>
          <w:rFonts w:ascii="Aileron" w:hAnsi="Aileron"/>
          <w:i/>
          <w:iCs/>
          <w:sz w:val="24"/>
          <w:szCs w:val="24"/>
        </w:rPr>
        <w:t>Too Great a Thing to Leave Undone: Defense of Agriculture,</w:t>
      </w:r>
      <w:r w:rsidRPr="00D30369">
        <w:rPr>
          <w:rFonts w:ascii="Calibri" w:hAnsi="Calibri" w:cs="Calibri"/>
          <w:sz w:val="24"/>
          <w:szCs w:val="24"/>
        </w:rPr>
        <w:t> </w:t>
      </w:r>
      <w:r w:rsidRPr="00D30369">
        <w:rPr>
          <w:rFonts w:ascii="Aileron" w:hAnsi="Aileron"/>
          <w:sz w:val="24"/>
          <w:szCs w:val="24"/>
        </w:rPr>
        <w:t>to inform its continuing assessment of the biological threat, specific vulnerabilities, and overwhelming consequences to agricultural producers. Topics discussed at this meeting included:</w:t>
      </w:r>
    </w:p>
    <w:p w14:paraId="41BD5370" w14:textId="77777777" w:rsidR="00D30369" w:rsidRPr="00D30369" w:rsidRDefault="00D30369" w:rsidP="00440277">
      <w:pPr>
        <w:numPr>
          <w:ilvl w:val="0"/>
          <w:numId w:val="1"/>
        </w:numPr>
        <w:spacing w:after="0" w:line="240" w:lineRule="auto"/>
        <w:jc w:val="both"/>
        <w:rPr>
          <w:rFonts w:ascii="Aileron" w:hAnsi="Aileron"/>
          <w:sz w:val="24"/>
          <w:szCs w:val="24"/>
        </w:rPr>
      </w:pPr>
      <w:r w:rsidRPr="00D30369">
        <w:rPr>
          <w:rFonts w:ascii="Aileron" w:hAnsi="Aileron"/>
          <w:sz w:val="24"/>
          <w:szCs w:val="24"/>
        </w:rPr>
        <w:t>The catastrophic risks to all components of agriculture;</w:t>
      </w:r>
    </w:p>
    <w:p w14:paraId="1736D5F8" w14:textId="77777777" w:rsidR="00D30369" w:rsidRPr="00D30369" w:rsidRDefault="00D30369" w:rsidP="00440277">
      <w:pPr>
        <w:numPr>
          <w:ilvl w:val="0"/>
          <w:numId w:val="1"/>
        </w:numPr>
        <w:spacing w:after="0" w:line="240" w:lineRule="auto"/>
        <w:jc w:val="both"/>
        <w:rPr>
          <w:rFonts w:ascii="Aileron" w:hAnsi="Aileron"/>
          <w:sz w:val="24"/>
          <w:szCs w:val="24"/>
        </w:rPr>
      </w:pPr>
      <w:r w:rsidRPr="00D30369">
        <w:rPr>
          <w:rFonts w:ascii="Aileron" w:hAnsi="Aileron"/>
          <w:sz w:val="24"/>
          <w:szCs w:val="24"/>
        </w:rPr>
        <w:t>Land grant university contributions to national security;</w:t>
      </w:r>
    </w:p>
    <w:p w14:paraId="2DBB3C40" w14:textId="77777777" w:rsidR="00D30369" w:rsidRPr="00D30369" w:rsidRDefault="00D30369" w:rsidP="00440277">
      <w:pPr>
        <w:numPr>
          <w:ilvl w:val="0"/>
          <w:numId w:val="1"/>
        </w:numPr>
        <w:spacing w:after="0" w:line="240" w:lineRule="auto"/>
        <w:jc w:val="both"/>
        <w:rPr>
          <w:rFonts w:ascii="Aileron" w:hAnsi="Aileron"/>
          <w:sz w:val="24"/>
          <w:szCs w:val="24"/>
        </w:rPr>
      </w:pPr>
      <w:r w:rsidRPr="00D30369">
        <w:rPr>
          <w:rFonts w:ascii="Aileron" w:hAnsi="Aileron"/>
          <w:sz w:val="24"/>
          <w:szCs w:val="24"/>
        </w:rPr>
        <w:t>Public-private partnerships for agrodefense; and</w:t>
      </w:r>
    </w:p>
    <w:p w14:paraId="03031CB9" w14:textId="0578A610" w:rsidR="00D30369" w:rsidRPr="00D30369" w:rsidRDefault="00D30369" w:rsidP="00440277">
      <w:pPr>
        <w:numPr>
          <w:ilvl w:val="0"/>
          <w:numId w:val="1"/>
        </w:numPr>
        <w:spacing w:after="0" w:line="240" w:lineRule="auto"/>
        <w:jc w:val="both"/>
        <w:rPr>
          <w:rFonts w:ascii="Aileron" w:hAnsi="Aileron"/>
          <w:color w:val="0A2342" w:themeColor="text1"/>
          <w:sz w:val="28"/>
          <w:szCs w:val="28"/>
        </w:rPr>
      </w:pPr>
      <w:r w:rsidRPr="00D30369">
        <w:rPr>
          <w:rFonts w:ascii="Aileron" w:hAnsi="Aileron"/>
          <w:sz w:val="24"/>
          <w:szCs w:val="24"/>
        </w:rPr>
        <w:t>Challenges to agricultural surveillance, detection, response, and recovery across all levels of government and throughout the private sector.</w:t>
      </w:r>
    </w:p>
    <w:p w14:paraId="00875D07" w14:textId="64088545" w:rsidR="00D30369" w:rsidRDefault="00D30369" w:rsidP="00440277">
      <w:pPr>
        <w:spacing w:after="0" w:line="240" w:lineRule="auto"/>
        <w:jc w:val="both"/>
        <w:rPr>
          <w:rFonts w:ascii="Aileron" w:hAnsi="Aileron"/>
          <w:color w:val="0A2342" w:themeColor="text1"/>
          <w:sz w:val="28"/>
          <w:szCs w:val="28"/>
        </w:rPr>
      </w:pPr>
    </w:p>
    <w:p w14:paraId="5F2C019B" w14:textId="47551B53" w:rsidR="00D40CC6" w:rsidRPr="00214012" w:rsidRDefault="00D30369" w:rsidP="00440277">
      <w:pPr>
        <w:spacing w:after="0" w:line="240" w:lineRule="auto"/>
        <w:jc w:val="both"/>
        <w:rPr>
          <w:rFonts w:ascii="Aileron" w:hAnsi="Aileron"/>
          <w:sz w:val="24"/>
          <w:szCs w:val="24"/>
        </w:rPr>
      </w:pPr>
      <w:r>
        <w:rPr>
          <w:rFonts w:ascii="Aileron" w:hAnsi="Aileron"/>
          <w:sz w:val="24"/>
          <w:szCs w:val="24"/>
        </w:rPr>
        <w:t>During the meeting, panelists shared their perspectives and experience</w:t>
      </w:r>
      <w:r w:rsidR="003A7C0F">
        <w:rPr>
          <w:rFonts w:ascii="Aileron" w:hAnsi="Aileron"/>
          <w:sz w:val="24"/>
          <w:szCs w:val="24"/>
        </w:rPr>
        <w:t>,</w:t>
      </w:r>
      <w:r>
        <w:rPr>
          <w:rFonts w:ascii="Aileron" w:hAnsi="Aileron"/>
          <w:sz w:val="24"/>
          <w:szCs w:val="24"/>
        </w:rPr>
        <w:t xml:space="preserve"> as well as current challenges </w:t>
      </w:r>
      <w:r w:rsidR="00D40CC6">
        <w:rPr>
          <w:rFonts w:ascii="Aileron" w:hAnsi="Aileron"/>
          <w:sz w:val="24"/>
          <w:szCs w:val="24"/>
        </w:rPr>
        <w:t xml:space="preserve">and recommendations for the Commission’s consideration. </w:t>
      </w:r>
      <w:r w:rsidR="00E600C7">
        <w:rPr>
          <w:rFonts w:ascii="Aileron" w:hAnsi="Aileron"/>
          <w:sz w:val="24"/>
          <w:szCs w:val="24"/>
        </w:rPr>
        <w:t>The table below summarizes the major recommendations put forward by the panelists</w:t>
      </w:r>
      <w:r w:rsidR="002358A5">
        <w:rPr>
          <w:rFonts w:ascii="Aileron" w:hAnsi="Aileron"/>
          <w:sz w:val="24"/>
          <w:szCs w:val="24"/>
        </w:rPr>
        <w:t>, as well as actionable steps related to each re</w:t>
      </w:r>
      <w:r w:rsidR="00C461AA">
        <w:rPr>
          <w:rFonts w:ascii="Aileron" w:hAnsi="Aileron"/>
          <w:sz w:val="24"/>
          <w:szCs w:val="24"/>
        </w:rPr>
        <w:t>commendation</w:t>
      </w:r>
      <w:r w:rsidR="00E600C7">
        <w:rPr>
          <w:rFonts w:ascii="Aileron" w:hAnsi="Aileron"/>
          <w:sz w:val="24"/>
          <w:szCs w:val="24"/>
        </w:rPr>
        <w:t>.</w:t>
      </w:r>
      <w:r w:rsidR="005B2A72">
        <w:rPr>
          <w:rFonts w:ascii="Aileron" w:hAnsi="Aileron"/>
          <w:sz w:val="24"/>
          <w:szCs w:val="24"/>
        </w:rPr>
        <w:t xml:space="preserve"> This document was prepared for distribution to CSU faculty/staff and other external partners, to provide a brief review of the event and highlight the </w:t>
      </w:r>
      <w:r w:rsidR="00A437E1">
        <w:rPr>
          <w:rFonts w:ascii="Aileron" w:hAnsi="Aileron"/>
          <w:sz w:val="24"/>
          <w:szCs w:val="24"/>
        </w:rPr>
        <w:t xml:space="preserve">most </w:t>
      </w:r>
      <w:r w:rsidR="005B2A72">
        <w:rPr>
          <w:rFonts w:ascii="Aileron" w:hAnsi="Aileron"/>
          <w:sz w:val="24"/>
          <w:szCs w:val="24"/>
        </w:rPr>
        <w:t>comm</w:t>
      </w:r>
      <w:r w:rsidR="0090576A">
        <w:rPr>
          <w:rFonts w:ascii="Aileron" w:hAnsi="Aileron"/>
          <w:sz w:val="24"/>
          <w:szCs w:val="24"/>
        </w:rPr>
        <w:t>on</w:t>
      </w:r>
      <w:bookmarkStart w:id="0" w:name="_GoBack"/>
      <w:bookmarkEnd w:id="0"/>
      <w:r w:rsidR="005B2A72">
        <w:rPr>
          <w:rFonts w:ascii="Aileron" w:hAnsi="Aileron"/>
          <w:sz w:val="24"/>
          <w:szCs w:val="24"/>
        </w:rPr>
        <w:t xml:space="preserve"> recommendations.</w:t>
      </w:r>
    </w:p>
    <w:p w14:paraId="736AA219" w14:textId="77777777" w:rsidR="00214012" w:rsidRPr="00214012" w:rsidRDefault="00214012" w:rsidP="00D30369">
      <w:pPr>
        <w:spacing w:after="0" w:line="240" w:lineRule="auto"/>
        <w:rPr>
          <w:rFonts w:ascii="Aileron" w:hAnsi="Aileron"/>
          <w:sz w:val="24"/>
          <w:szCs w:val="24"/>
        </w:rPr>
      </w:pPr>
    </w:p>
    <w:p w14:paraId="1E0A32B2" w14:textId="61FB34B1" w:rsidR="00D30369" w:rsidRPr="008F5902" w:rsidRDefault="00224301" w:rsidP="00D30369">
      <w:pPr>
        <w:spacing w:after="0" w:line="240" w:lineRule="auto"/>
        <w:rPr>
          <w:rFonts w:ascii="Aileron Bold" w:hAnsi="Aileron Bold"/>
          <w:b/>
          <w:sz w:val="24"/>
          <w:szCs w:val="24"/>
        </w:rPr>
      </w:pPr>
      <w:r w:rsidRPr="008F5902">
        <w:rPr>
          <w:rFonts w:ascii="Aileron Bold" w:hAnsi="Aileron Bold"/>
          <w:b/>
          <w:sz w:val="24"/>
          <w:szCs w:val="24"/>
        </w:rPr>
        <w:t>TABLE 1 : Recommendations and Action Items</w:t>
      </w:r>
    </w:p>
    <w:tbl>
      <w:tblPr>
        <w:tblStyle w:val="PlainTable4"/>
        <w:tblW w:w="9350" w:type="dxa"/>
        <w:tblLook w:val="04A0" w:firstRow="1" w:lastRow="0" w:firstColumn="1" w:lastColumn="0" w:noHBand="0" w:noVBand="1"/>
      </w:tblPr>
      <w:tblGrid>
        <w:gridCol w:w="2206"/>
        <w:gridCol w:w="1488"/>
        <w:gridCol w:w="1414"/>
        <w:gridCol w:w="1414"/>
        <w:gridCol w:w="1414"/>
        <w:gridCol w:w="1414"/>
      </w:tblGrid>
      <w:tr w:rsidR="00A63262" w14:paraId="633CAA55" w14:textId="77777777" w:rsidTr="00895FA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94" w:type="dxa"/>
            <w:gridSpan w:val="2"/>
            <w:shd w:val="clear" w:color="auto" w:fill="BFAC88" w:themeFill="text2"/>
          </w:tcPr>
          <w:p w14:paraId="17BBADAA" w14:textId="610B9493" w:rsidR="00A63262" w:rsidRDefault="00A63262" w:rsidP="00D30369">
            <w:pPr>
              <w:rPr>
                <w:rFonts w:ascii="Aileron" w:hAnsi="Aileron"/>
                <w:sz w:val="24"/>
                <w:szCs w:val="24"/>
              </w:rPr>
            </w:pPr>
            <w:r w:rsidRPr="002F2A69">
              <w:rPr>
                <w:rFonts w:ascii="Aileron" w:hAnsi="Aileron"/>
                <w:sz w:val="24"/>
                <w:szCs w:val="24"/>
              </w:rPr>
              <w:t>Recommendation</w:t>
            </w:r>
          </w:p>
        </w:tc>
        <w:tc>
          <w:tcPr>
            <w:tcW w:w="1414" w:type="dxa"/>
            <w:shd w:val="clear" w:color="auto" w:fill="BFAC88" w:themeFill="text2"/>
          </w:tcPr>
          <w:p w14:paraId="16020902" w14:textId="77777777" w:rsidR="00A63262" w:rsidRDefault="00A63262" w:rsidP="00D30369">
            <w:pPr>
              <w:cnfStyle w:val="100000000000" w:firstRow="1" w:lastRow="0" w:firstColumn="0" w:lastColumn="0" w:oddVBand="0" w:evenVBand="0" w:oddHBand="0" w:evenHBand="0" w:firstRowFirstColumn="0" w:firstRowLastColumn="0" w:lastRowFirstColumn="0" w:lastRowLastColumn="0"/>
              <w:rPr>
                <w:rFonts w:ascii="Aileron" w:hAnsi="Aileron"/>
                <w:sz w:val="24"/>
                <w:szCs w:val="24"/>
              </w:rPr>
            </w:pPr>
          </w:p>
        </w:tc>
        <w:tc>
          <w:tcPr>
            <w:tcW w:w="1414" w:type="dxa"/>
            <w:shd w:val="clear" w:color="auto" w:fill="BFAC88" w:themeFill="text2"/>
          </w:tcPr>
          <w:p w14:paraId="672058AE" w14:textId="77777777" w:rsidR="00A63262" w:rsidRDefault="00A63262" w:rsidP="00D30369">
            <w:pPr>
              <w:cnfStyle w:val="100000000000" w:firstRow="1" w:lastRow="0" w:firstColumn="0" w:lastColumn="0" w:oddVBand="0" w:evenVBand="0" w:oddHBand="0" w:evenHBand="0" w:firstRowFirstColumn="0" w:firstRowLastColumn="0" w:lastRowFirstColumn="0" w:lastRowLastColumn="0"/>
              <w:rPr>
                <w:rFonts w:ascii="Aileron" w:hAnsi="Aileron"/>
                <w:sz w:val="24"/>
                <w:szCs w:val="24"/>
              </w:rPr>
            </w:pPr>
          </w:p>
        </w:tc>
        <w:tc>
          <w:tcPr>
            <w:tcW w:w="1414" w:type="dxa"/>
            <w:shd w:val="clear" w:color="auto" w:fill="BFAC88" w:themeFill="text2"/>
          </w:tcPr>
          <w:p w14:paraId="5EF70BF0" w14:textId="77777777" w:rsidR="00A63262" w:rsidRDefault="00A63262" w:rsidP="00D30369">
            <w:pPr>
              <w:cnfStyle w:val="100000000000" w:firstRow="1" w:lastRow="0" w:firstColumn="0" w:lastColumn="0" w:oddVBand="0" w:evenVBand="0" w:oddHBand="0" w:evenHBand="0" w:firstRowFirstColumn="0" w:firstRowLastColumn="0" w:lastRowFirstColumn="0" w:lastRowLastColumn="0"/>
              <w:rPr>
                <w:rFonts w:ascii="Aileron" w:hAnsi="Aileron"/>
                <w:sz w:val="24"/>
                <w:szCs w:val="24"/>
              </w:rPr>
            </w:pPr>
          </w:p>
        </w:tc>
        <w:tc>
          <w:tcPr>
            <w:tcW w:w="1414" w:type="dxa"/>
            <w:shd w:val="clear" w:color="auto" w:fill="BFAC88" w:themeFill="text2"/>
          </w:tcPr>
          <w:p w14:paraId="4691D246" w14:textId="77777777" w:rsidR="00A63262" w:rsidRDefault="00A63262" w:rsidP="00D30369">
            <w:pPr>
              <w:cnfStyle w:val="100000000000" w:firstRow="1" w:lastRow="0" w:firstColumn="0" w:lastColumn="0" w:oddVBand="0" w:evenVBand="0" w:oddHBand="0" w:evenHBand="0" w:firstRowFirstColumn="0" w:firstRowLastColumn="0" w:lastRowFirstColumn="0" w:lastRowLastColumn="0"/>
              <w:rPr>
                <w:rFonts w:ascii="Aileron" w:hAnsi="Aileron"/>
                <w:sz w:val="24"/>
                <w:szCs w:val="24"/>
              </w:rPr>
            </w:pPr>
          </w:p>
        </w:tc>
      </w:tr>
      <w:tr w:rsidR="002F2A69" w14:paraId="5D994EA1" w14:textId="77777777" w:rsidTr="00895F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6" w:type="dxa"/>
            <w:shd w:val="clear" w:color="auto" w:fill="EBE3D4" w:themeFill="background2"/>
          </w:tcPr>
          <w:p w14:paraId="295F7617" w14:textId="48F2A154" w:rsidR="002F2A69" w:rsidRPr="002F2A69" w:rsidRDefault="002F2A69" w:rsidP="002F2A69">
            <w:pPr>
              <w:ind w:left="720"/>
              <w:rPr>
                <w:rFonts w:ascii="Aileron" w:hAnsi="Aileron"/>
                <w:b w:val="0"/>
                <w:sz w:val="24"/>
                <w:szCs w:val="24"/>
              </w:rPr>
            </w:pPr>
            <w:r w:rsidRPr="002F2A69">
              <w:rPr>
                <w:rFonts w:ascii="Aileron" w:hAnsi="Aileron"/>
                <w:b w:val="0"/>
                <w:sz w:val="24"/>
                <w:szCs w:val="24"/>
              </w:rPr>
              <w:t>Action Item</w:t>
            </w:r>
          </w:p>
        </w:tc>
        <w:tc>
          <w:tcPr>
            <w:tcW w:w="1488" w:type="dxa"/>
            <w:shd w:val="clear" w:color="auto" w:fill="EBE3D4" w:themeFill="background2"/>
          </w:tcPr>
          <w:p w14:paraId="4E4229D2" w14:textId="3316E9EF" w:rsidR="002F2A69" w:rsidRDefault="002F2A69" w:rsidP="002F2A69">
            <w:pPr>
              <w:cnfStyle w:val="000000100000" w:firstRow="0" w:lastRow="0" w:firstColumn="0" w:lastColumn="0" w:oddVBand="0" w:evenVBand="0" w:oddHBand="1" w:evenHBand="0" w:firstRowFirstColumn="0" w:firstRowLastColumn="0" w:lastRowFirstColumn="0" w:lastRowLastColumn="0"/>
              <w:rPr>
                <w:rFonts w:ascii="Aileron" w:hAnsi="Aileron"/>
                <w:sz w:val="24"/>
                <w:szCs w:val="24"/>
              </w:rPr>
            </w:pPr>
          </w:p>
        </w:tc>
        <w:tc>
          <w:tcPr>
            <w:tcW w:w="1414" w:type="dxa"/>
            <w:shd w:val="clear" w:color="auto" w:fill="EBE3D4" w:themeFill="background2"/>
          </w:tcPr>
          <w:p w14:paraId="5B4B327B" w14:textId="77777777" w:rsidR="002F2A69" w:rsidRDefault="002F2A69" w:rsidP="002F2A69">
            <w:pPr>
              <w:cnfStyle w:val="000000100000" w:firstRow="0" w:lastRow="0" w:firstColumn="0" w:lastColumn="0" w:oddVBand="0" w:evenVBand="0" w:oddHBand="1" w:evenHBand="0" w:firstRowFirstColumn="0" w:firstRowLastColumn="0" w:lastRowFirstColumn="0" w:lastRowLastColumn="0"/>
              <w:rPr>
                <w:rFonts w:ascii="Aileron" w:hAnsi="Aileron"/>
                <w:sz w:val="24"/>
                <w:szCs w:val="24"/>
              </w:rPr>
            </w:pPr>
          </w:p>
        </w:tc>
        <w:tc>
          <w:tcPr>
            <w:tcW w:w="1414" w:type="dxa"/>
            <w:shd w:val="clear" w:color="auto" w:fill="EBE3D4" w:themeFill="background2"/>
          </w:tcPr>
          <w:p w14:paraId="6EDC86AD" w14:textId="77777777" w:rsidR="002F2A69" w:rsidRDefault="002F2A69" w:rsidP="002F2A69">
            <w:pPr>
              <w:cnfStyle w:val="000000100000" w:firstRow="0" w:lastRow="0" w:firstColumn="0" w:lastColumn="0" w:oddVBand="0" w:evenVBand="0" w:oddHBand="1" w:evenHBand="0" w:firstRowFirstColumn="0" w:firstRowLastColumn="0" w:lastRowFirstColumn="0" w:lastRowLastColumn="0"/>
              <w:rPr>
                <w:rFonts w:ascii="Aileron" w:hAnsi="Aileron"/>
                <w:sz w:val="24"/>
                <w:szCs w:val="24"/>
              </w:rPr>
            </w:pPr>
          </w:p>
        </w:tc>
        <w:tc>
          <w:tcPr>
            <w:tcW w:w="1414" w:type="dxa"/>
            <w:shd w:val="clear" w:color="auto" w:fill="EBE3D4" w:themeFill="background2"/>
          </w:tcPr>
          <w:p w14:paraId="1D278D91" w14:textId="77777777" w:rsidR="002F2A69" w:rsidRDefault="002F2A69" w:rsidP="002F2A69">
            <w:pPr>
              <w:cnfStyle w:val="000000100000" w:firstRow="0" w:lastRow="0" w:firstColumn="0" w:lastColumn="0" w:oddVBand="0" w:evenVBand="0" w:oddHBand="1" w:evenHBand="0" w:firstRowFirstColumn="0" w:firstRowLastColumn="0" w:lastRowFirstColumn="0" w:lastRowLastColumn="0"/>
              <w:rPr>
                <w:rFonts w:ascii="Aileron" w:hAnsi="Aileron"/>
                <w:sz w:val="24"/>
                <w:szCs w:val="24"/>
              </w:rPr>
            </w:pPr>
          </w:p>
        </w:tc>
        <w:tc>
          <w:tcPr>
            <w:tcW w:w="1414" w:type="dxa"/>
            <w:shd w:val="clear" w:color="auto" w:fill="EBE3D4" w:themeFill="background2"/>
          </w:tcPr>
          <w:p w14:paraId="116EAAC0" w14:textId="77777777" w:rsidR="002F2A69" w:rsidRDefault="002F2A69" w:rsidP="002F2A69">
            <w:pPr>
              <w:cnfStyle w:val="000000100000" w:firstRow="0" w:lastRow="0" w:firstColumn="0" w:lastColumn="0" w:oddVBand="0" w:evenVBand="0" w:oddHBand="1" w:evenHBand="0" w:firstRowFirstColumn="0" w:firstRowLastColumn="0" w:lastRowFirstColumn="0" w:lastRowLastColumn="0"/>
              <w:rPr>
                <w:rFonts w:ascii="Aileron" w:hAnsi="Aileron"/>
                <w:sz w:val="24"/>
                <w:szCs w:val="24"/>
              </w:rPr>
            </w:pPr>
          </w:p>
        </w:tc>
      </w:tr>
      <w:tr w:rsidR="0079265D" w14:paraId="28A4E240" w14:textId="77777777" w:rsidTr="00895FA0">
        <w:tc>
          <w:tcPr>
            <w:cnfStyle w:val="001000000000" w:firstRow="0" w:lastRow="0" w:firstColumn="1" w:lastColumn="0" w:oddVBand="0" w:evenVBand="0" w:oddHBand="0" w:evenHBand="0" w:firstRowFirstColumn="0" w:firstRowLastColumn="0" w:lastRowFirstColumn="0" w:lastRowLastColumn="0"/>
            <w:tcW w:w="9350" w:type="dxa"/>
            <w:gridSpan w:val="6"/>
          </w:tcPr>
          <w:p w14:paraId="530958EA" w14:textId="77777777" w:rsidR="0079265D" w:rsidRDefault="0079265D" w:rsidP="002F2A69">
            <w:pPr>
              <w:rPr>
                <w:rFonts w:ascii="Aileron" w:hAnsi="Aileron"/>
                <w:sz w:val="24"/>
                <w:szCs w:val="24"/>
              </w:rPr>
            </w:pPr>
          </w:p>
        </w:tc>
      </w:tr>
      <w:tr w:rsidR="00D718CB" w14:paraId="54C0C2B6" w14:textId="77777777" w:rsidTr="00895F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6"/>
            <w:shd w:val="clear" w:color="auto" w:fill="BFAC88" w:themeFill="text2"/>
          </w:tcPr>
          <w:p w14:paraId="0A575E13" w14:textId="7801C37B" w:rsidR="00D718CB" w:rsidRPr="00825719" w:rsidRDefault="00D718CB" w:rsidP="002F2A69">
            <w:pPr>
              <w:rPr>
                <w:rFonts w:ascii="Aileron Bold" w:hAnsi="Aileron Bold"/>
                <w:sz w:val="24"/>
                <w:szCs w:val="24"/>
              </w:rPr>
            </w:pPr>
            <w:r w:rsidRPr="00825719">
              <w:rPr>
                <w:rFonts w:ascii="Aileron Bold" w:hAnsi="Aileron Bold"/>
                <w:b w:val="0"/>
                <w:sz w:val="24"/>
                <w:szCs w:val="24"/>
              </w:rPr>
              <w:t xml:space="preserve">1. </w:t>
            </w:r>
            <w:r w:rsidR="00D256AA">
              <w:rPr>
                <w:rFonts w:ascii="Aileron Bold" w:hAnsi="Aileron Bold"/>
                <w:b w:val="0"/>
                <w:sz w:val="24"/>
                <w:szCs w:val="24"/>
              </w:rPr>
              <w:t>Utilize machine learning and data science to e</w:t>
            </w:r>
            <w:r w:rsidR="00DB1B55" w:rsidRPr="00825719">
              <w:rPr>
                <w:rFonts w:ascii="Aileron Bold" w:hAnsi="Aileron Bold"/>
                <w:b w:val="0"/>
                <w:sz w:val="24"/>
                <w:szCs w:val="24"/>
              </w:rPr>
              <w:t>nhance the s</w:t>
            </w:r>
            <w:r w:rsidRPr="00825719">
              <w:rPr>
                <w:rFonts w:ascii="Aileron Bold" w:hAnsi="Aileron Bold"/>
                <w:b w:val="0"/>
                <w:sz w:val="24"/>
                <w:szCs w:val="24"/>
              </w:rPr>
              <w:t>urveillance and monitoring</w:t>
            </w:r>
            <w:r w:rsidR="00DB1B55" w:rsidRPr="00825719">
              <w:rPr>
                <w:rFonts w:ascii="Aileron Bold" w:hAnsi="Aileron Bold"/>
                <w:b w:val="0"/>
                <w:sz w:val="24"/>
                <w:szCs w:val="24"/>
              </w:rPr>
              <w:t xml:space="preserve"> capabilities across state, federal, and consumer </w:t>
            </w:r>
            <w:r w:rsidR="004A4F1C">
              <w:rPr>
                <w:rFonts w:ascii="Aileron Bold" w:hAnsi="Aileron Bold"/>
                <w:b w:val="0"/>
                <w:sz w:val="24"/>
                <w:szCs w:val="24"/>
              </w:rPr>
              <w:t>systems.</w:t>
            </w:r>
          </w:p>
        </w:tc>
      </w:tr>
      <w:tr w:rsidR="0079265D" w14:paraId="64643C1D" w14:textId="77777777" w:rsidTr="00895FA0">
        <w:tc>
          <w:tcPr>
            <w:cnfStyle w:val="001000000000" w:firstRow="0" w:lastRow="0" w:firstColumn="1" w:lastColumn="0" w:oddVBand="0" w:evenVBand="0" w:oddHBand="0" w:evenHBand="0" w:firstRowFirstColumn="0" w:firstRowLastColumn="0" w:lastRowFirstColumn="0" w:lastRowLastColumn="0"/>
            <w:tcW w:w="9350" w:type="dxa"/>
            <w:gridSpan w:val="6"/>
            <w:shd w:val="clear" w:color="auto" w:fill="EBE3D4" w:themeFill="background2"/>
          </w:tcPr>
          <w:p w14:paraId="7C4B00A2" w14:textId="47D7102F" w:rsidR="0079265D" w:rsidRPr="003A2EDC" w:rsidRDefault="00540A4D" w:rsidP="003A2EDC">
            <w:pPr>
              <w:ind w:left="720"/>
              <w:rPr>
                <w:rFonts w:ascii="Aileron" w:hAnsi="Aileron"/>
                <w:b w:val="0"/>
                <w:sz w:val="24"/>
                <w:szCs w:val="24"/>
              </w:rPr>
            </w:pPr>
            <w:r w:rsidRPr="003A2EDC">
              <w:rPr>
                <w:rFonts w:ascii="Aileron" w:hAnsi="Aileron"/>
                <w:b w:val="0"/>
                <w:sz w:val="24"/>
                <w:szCs w:val="24"/>
              </w:rPr>
              <w:t xml:space="preserve">a. </w:t>
            </w:r>
            <w:r w:rsidR="008E17D8">
              <w:rPr>
                <w:rFonts w:ascii="Aileron" w:hAnsi="Aileron"/>
                <w:b w:val="0"/>
                <w:sz w:val="24"/>
                <w:szCs w:val="24"/>
              </w:rPr>
              <w:t>Develop systems to i</w:t>
            </w:r>
            <w:r w:rsidR="008E17D8">
              <w:rPr>
                <w:rFonts w:ascii="Aileron" w:eastAsia="MS Mincho" w:hAnsi="Aileron" w:cs="Times New Roman"/>
                <w:b w:val="0"/>
                <w:bCs w:val="0"/>
                <w:sz w:val="24"/>
                <w:szCs w:val="24"/>
              </w:rPr>
              <w:t xml:space="preserve">ncorporate </w:t>
            </w:r>
            <w:r w:rsidR="008E17D8" w:rsidRPr="008E17D8">
              <w:rPr>
                <w:rFonts w:ascii="Aileron" w:eastAsia="MS Mincho" w:hAnsi="Aileron" w:cs="Times New Roman"/>
                <w:b w:val="0"/>
                <w:bCs w:val="0"/>
                <w:sz w:val="24"/>
                <w:szCs w:val="24"/>
              </w:rPr>
              <w:t xml:space="preserve">epidemiological </w:t>
            </w:r>
            <w:r w:rsidR="008E17D8">
              <w:rPr>
                <w:rFonts w:ascii="Aileron" w:eastAsia="MS Mincho" w:hAnsi="Aileron" w:cs="Times New Roman"/>
                <w:b w:val="0"/>
                <w:bCs w:val="0"/>
                <w:sz w:val="24"/>
                <w:szCs w:val="24"/>
              </w:rPr>
              <w:t xml:space="preserve">and situational </w:t>
            </w:r>
            <w:r w:rsidR="00D256AA">
              <w:rPr>
                <w:rFonts w:ascii="Aileron" w:eastAsia="MS Mincho" w:hAnsi="Aileron" w:cs="Times New Roman"/>
                <w:b w:val="0"/>
                <w:bCs w:val="0"/>
                <w:sz w:val="24"/>
                <w:szCs w:val="24"/>
              </w:rPr>
              <w:t>data</w:t>
            </w:r>
            <w:r w:rsidR="008E17D8" w:rsidRPr="008E17D8">
              <w:rPr>
                <w:rFonts w:ascii="Aileron" w:eastAsia="MS Mincho" w:hAnsi="Aileron" w:cs="Times New Roman"/>
                <w:b w:val="0"/>
                <w:bCs w:val="0"/>
                <w:sz w:val="24"/>
                <w:szCs w:val="24"/>
              </w:rPr>
              <w:t xml:space="preserve"> </w:t>
            </w:r>
            <w:r w:rsidR="008E17D8">
              <w:rPr>
                <w:rFonts w:ascii="Aileron" w:eastAsia="MS Mincho" w:hAnsi="Aileron" w:cs="Times New Roman"/>
                <w:b w:val="0"/>
                <w:bCs w:val="0"/>
                <w:sz w:val="24"/>
                <w:szCs w:val="24"/>
              </w:rPr>
              <w:t>to put</w:t>
            </w:r>
            <w:r w:rsidR="008E17D8" w:rsidRPr="008E17D8">
              <w:rPr>
                <w:rFonts w:ascii="Aileron" w:eastAsia="MS Mincho" w:hAnsi="Aileron" w:cs="Times New Roman"/>
                <w:b w:val="0"/>
                <w:bCs w:val="0"/>
                <w:sz w:val="24"/>
                <w:szCs w:val="24"/>
              </w:rPr>
              <w:t xml:space="preserve"> surveillance results into context</w:t>
            </w:r>
            <w:r w:rsidR="00D256AA">
              <w:rPr>
                <w:rFonts w:ascii="Aileron" w:eastAsia="MS Mincho" w:hAnsi="Aileron" w:cs="Times New Roman"/>
                <w:b w:val="0"/>
                <w:bCs w:val="0"/>
                <w:sz w:val="24"/>
                <w:szCs w:val="24"/>
              </w:rPr>
              <w:t>, and to de-risk new diagnostic innovations</w:t>
            </w:r>
          </w:p>
        </w:tc>
      </w:tr>
      <w:tr w:rsidR="00C461AA" w14:paraId="21A494D4" w14:textId="77777777" w:rsidTr="00895F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6"/>
            <w:shd w:val="clear" w:color="auto" w:fill="EBE3D4" w:themeFill="background2"/>
          </w:tcPr>
          <w:p w14:paraId="6D70F645" w14:textId="42438604" w:rsidR="00C461AA" w:rsidRPr="003E53C2" w:rsidRDefault="003E53C2" w:rsidP="003A2EDC">
            <w:pPr>
              <w:ind w:left="720"/>
              <w:rPr>
                <w:rFonts w:ascii="Aileron" w:hAnsi="Aileron"/>
                <w:b w:val="0"/>
                <w:i/>
                <w:sz w:val="24"/>
                <w:szCs w:val="24"/>
              </w:rPr>
            </w:pPr>
            <w:r w:rsidRPr="003E53C2">
              <w:rPr>
                <w:rFonts w:ascii="Aileron" w:hAnsi="Aileron"/>
                <w:b w:val="0"/>
                <w:i/>
                <w:sz w:val="24"/>
                <w:szCs w:val="24"/>
              </w:rPr>
              <w:t>Panel 2: Surveillance &amp; Detection (Dr. Delgado)</w:t>
            </w:r>
          </w:p>
        </w:tc>
      </w:tr>
      <w:tr w:rsidR="0079265D" w14:paraId="6349F04F" w14:textId="77777777" w:rsidTr="00895FA0">
        <w:tc>
          <w:tcPr>
            <w:cnfStyle w:val="001000000000" w:firstRow="0" w:lastRow="0" w:firstColumn="1" w:lastColumn="0" w:oddVBand="0" w:evenVBand="0" w:oddHBand="0" w:evenHBand="0" w:firstRowFirstColumn="0" w:firstRowLastColumn="0" w:lastRowFirstColumn="0" w:lastRowLastColumn="0"/>
            <w:tcW w:w="9350" w:type="dxa"/>
            <w:gridSpan w:val="6"/>
            <w:shd w:val="clear" w:color="auto" w:fill="EBE3D4" w:themeFill="background2"/>
          </w:tcPr>
          <w:p w14:paraId="3FBA25D3" w14:textId="4AB3E626" w:rsidR="0079265D" w:rsidRPr="0047111C" w:rsidRDefault="0047111C" w:rsidP="0047111C">
            <w:pPr>
              <w:ind w:left="720"/>
              <w:rPr>
                <w:rFonts w:ascii="Aileron" w:hAnsi="Aileron"/>
                <w:b w:val="0"/>
                <w:sz w:val="24"/>
                <w:szCs w:val="24"/>
              </w:rPr>
            </w:pPr>
            <w:r>
              <w:rPr>
                <w:rFonts w:ascii="Aileron" w:hAnsi="Aileron"/>
                <w:b w:val="0"/>
                <w:sz w:val="24"/>
                <w:szCs w:val="24"/>
              </w:rPr>
              <w:t xml:space="preserve">b. </w:t>
            </w:r>
            <w:r w:rsidRPr="003A2EDC">
              <w:rPr>
                <w:rFonts w:ascii="Aileron" w:eastAsia="MS Mincho" w:hAnsi="Aileron" w:cs="Times New Roman"/>
                <w:b w:val="0"/>
                <w:bCs w:val="0"/>
                <w:sz w:val="24"/>
                <w:szCs w:val="24"/>
              </w:rPr>
              <w:t>Incentivize industry participation in current voluntary traceability systems</w:t>
            </w:r>
          </w:p>
        </w:tc>
      </w:tr>
      <w:tr w:rsidR="00C461AA" w14:paraId="5C583AD0" w14:textId="77777777" w:rsidTr="00895F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6"/>
            <w:shd w:val="clear" w:color="auto" w:fill="EBE3D4" w:themeFill="background2"/>
          </w:tcPr>
          <w:p w14:paraId="2CEEB310" w14:textId="1C5951F3" w:rsidR="00C461AA" w:rsidRPr="00C461AA" w:rsidRDefault="00C461AA" w:rsidP="0047111C">
            <w:pPr>
              <w:ind w:left="720"/>
              <w:rPr>
                <w:rFonts w:ascii="Aileron" w:hAnsi="Aileron"/>
                <w:b w:val="0"/>
                <w:i/>
                <w:sz w:val="24"/>
                <w:szCs w:val="24"/>
              </w:rPr>
            </w:pPr>
            <w:r w:rsidRPr="00C461AA">
              <w:rPr>
                <w:rFonts w:ascii="Aileron" w:hAnsi="Aileron"/>
                <w:b w:val="0"/>
                <w:i/>
                <w:sz w:val="24"/>
                <w:szCs w:val="24"/>
              </w:rPr>
              <w:t xml:space="preserve">Panel 1: Response &amp; Recovery (Dr. </w:t>
            </w:r>
            <w:proofErr w:type="spellStart"/>
            <w:r w:rsidRPr="00C461AA">
              <w:rPr>
                <w:rFonts w:ascii="Aileron" w:hAnsi="Aileron"/>
                <w:b w:val="0"/>
                <w:i/>
                <w:sz w:val="24"/>
                <w:szCs w:val="24"/>
              </w:rPr>
              <w:t>Roehr</w:t>
            </w:r>
            <w:proofErr w:type="spellEnd"/>
            <w:r w:rsidRPr="00C461AA">
              <w:rPr>
                <w:rFonts w:ascii="Aileron" w:hAnsi="Aileron"/>
                <w:b w:val="0"/>
                <w:i/>
                <w:sz w:val="24"/>
                <w:szCs w:val="24"/>
              </w:rPr>
              <w:t xml:space="preserve"> &amp; Mr. </w:t>
            </w:r>
            <w:proofErr w:type="spellStart"/>
            <w:r w:rsidRPr="00C461AA">
              <w:rPr>
                <w:rFonts w:ascii="Aileron" w:hAnsi="Aileron"/>
                <w:b w:val="0"/>
                <w:i/>
                <w:sz w:val="24"/>
                <w:szCs w:val="24"/>
              </w:rPr>
              <w:t>Leachman</w:t>
            </w:r>
            <w:proofErr w:type="spellEnd"/>
            <w:r w:rsidRPr="00C461AA">
              <w:rPr>
                <w:rFonts w:ascii="Aileron" w:hAnsi="Aileron"/>
                <w:b w:val="0"/>
                <w:i/>
                <w:sz w:val="24"/>
                <w:szCs w:val="24"/>
              </w:rPr>
              <w:t>)</w:t>
            </w:r>
          </w:p>
        </w:tc>
      </w:tr>
      <w:tr w:rsidR="00D718CB" w14:paraId="793B74EF" w14:textId="77777777" w:rsidTr="00895FA0">
        <w:tc>
          <w:tcPr>
            <w:cnfStyle w:val="001000000000" w:firstRow="0" w:lastRow="0" w:firstColumn="1" w:lastColumn="0" w:oddVBand="0" w:evenVBand="0" w:oddHBand="0" w:evenHBand="0" w:firstRowFirstColumn="0" w:firstRowLastColumn="0" w:lastRowFirstColumn="0" w:lastRowLastColumn="0"/>
            <w:tcW w:w="9350" w:type="dxa"/>
            <w:gridSpan w:val="6"/>
            <w:shd w:val="clear" w:color="auto" w:fill="BFAC88" w:themeFill="text2"/>
          </w:tcPr>
          <w:p w14:paraId="1C3004F9" w14:textId="6B594A5D" w:rsidR="00D718CB" w:rsidRPr="00825719" w:rsidRDefault="00D718CB" w:rsidP="002F2A69">
            <w:pPr>
              <w:rPr>
                <w:rFonts w:ascii="Aileron Bold" w:hAnsi="Aileron Bold"/>
                <w:sz w:val="24"/>
                <w:szCs w:val="24"/>
              </w:rPr>
            </w:pPr>
            <w:r w:rsidRPr="00825719">
              <w:rPr>
                <w:rFonts w:ascii="Aileron Bold" w:hAnsi="Aileron Bold"/>
                <w:b w:val="0"/>
                <w:sz w:val="24"/>
                <w:szCs w:val="24"/>
              </w:rPr>
              <w:t>2. Support high risk models of innovation investment for enhanced agility and response</w:t>
            </w:r>
            <w:r w:rsidR="00DB1B55" w:rsidRPr="00825719">
              <w:rPr>
                <w:rFonts w:ascii="Aileron Bold" w:hAnsi="Aileron Bold"/>
                <w:b w:val="0"/>
                <w:sz w:val="24"/>
                <w:szCs w:val="24"/>
              </w:rPr>
              <w:t xml:space="preserve"> to threats.</w:t>
            </w:r>
          </w:p>
        </w:tc>
      </w:tr>
      <w:tr w:rsidR="0079265D" w14:paraId="414E1D45" w14:textId="77777777" w:rsidTr="00895F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6"/>
            <w:shd w:val="clear" w:color="auto" w:fill="EBE3D4" w:themeFill="background2"/>
          </w:tcPr>
          <w:p w14:paraId="6C8EE758" w14:textId="7470367C" w:rsidR="00C635F7" w:rsidRPr="00C635F7" w:rsidRDefault="00A73555" w:rsidP="00C635F7">
            <w:pPr>
              <w:ind w:left="720"/>
              <w:rPr>
                <w:rFonts w:ascii="Aileron" w:hAnsi="Aileron"/>
                <w:bCs w:val="0"/>
                <w:sz w:val="24"/>
                <w:szCs w:val="24"/>
              </w:rPr>
            </w:pPr>
            <w:r w:rsidRPr="00A73555">
              <w:rPr>
                <w:rFonts w:ascii="Aileron" w:hAnsi="Aileron"/>
                <w:b w:val="0"/>
                <w:sz w:val="24"/>
                <w:szCs w:val="24"/>
              </w:rPr>
              <w:t>a. Invest in research and development that offsets the opportunity cost for industry</w:t>
            </w:r>
            <w:r w:rsidR="000E65A1">
              <w:rPr>
                <w:rFonts w:ascii="Aileron" w:hAnsi="Aileron"/>
                <w:b w:val="0"/>
                <w:sz w:val="24"/>
                <w:szCs w:val="24"/>
              </w:rPr>
              <w:t xml:space="preserve"> and encourages public-private partnerships</w:t>
            </w:r>
            <w:r w:rsidR="000474C6">
              <w:rPr>
                <w:rFonts w:ascii="Aileron" w:hAnsi="Aileron"/>
                <w:b w:val="0"/>
                <w:sz w:val="24"/>
                <w:szCs w:val="24"/>
              </w:rPr>
              <w:t xml:space="preserve"> (ex: </w:t>
            </w:r>
            <w:proofErr w:type="spellStart"/>
            <w:r w:rsidR="000474C6">
              <w:rPr>
                <w:rFonts w:ascii="Aileron" w:hAnsi="Aileron"/>
                <w:b w:val="0"/>
                <w:sz w:val="24"/>
                <w:szCs w:val="24"/>
              </w:rPr>
              <w:t>AgARDA</w:t>
            </w:r>
            <w:proofErr w:type="spellEnd"/>
            <w:r w:rsidR="000474C6">
              <w:rPr>
                <w:rFonts w:ascii="Aileron" w:hAnsi="Aileron"/>
                <w:b w:val="0"/>
                <w:sz w:val="24"/>
                <w:szCs w:val="24"/>
              </w:rPr>
              <w:t>)</w:t>
            </w:r>
          </w:p>
        </w:tc>
      </w:tr>
      <w:tr w:rsidR="00C461AA" w14:paraId="01E586FC" w14:textId="77777777" w:rsidTr="00895FA0">
        <w:tc>
          <w:tcPr>
            <w:cnfStyle w:val="001000000000" w:firstRow="0" w:lastRow="0" w:firstColumn="1" w:lastColumn="0" w:oddVBand="0" w:evenVBand="0" w:oddHBand="0" w:evenHBand="0" w:firstRowFirstColumn="0" w:firstRowLastColumn="0" w:lastRowFirstColumn="0" w:lastRowLastColumn="0"/>
            <w:tcW w:w="9350" w:type="dxa"/>
            <w:gridSpan w:val="6"/>
            <w:shd w:val="clear" w:color="auto" w:fill="EBE3D4" w:themeFill="background2"/>
          </w:tcPr>
          <w:p w14:paraId="5CCAB18C" w14:textId="77777777" w:rsidR="00C461AA" w:rsidRDefault="003E53C2" w:rsidP="00C635F7">
            <w:pPr>
              <w:ind w:left="720"/>
              <w:rPr>
                <w:rFonts w:ascii="Aileron" w:hAnsi="Aileron"/>
                <w:bCs w:val="0"/>
                <w:i/>
                <w:sz w:val="24"/>
                <w:szCs w:val="24"/>
              </w:rPr>
            </w:pPr>
            <w:r w:rsidRPr="003E53C2">
              <w:rPr>
                <w:rFonts w:ascii="Aileron" w:hAnsi="Aileron"/>
                <w:b w:val="0"/>
                <w:i/>
                <w:sz w:val="24"/>
                <w:szCs w:val="24"/>
              </w:rPr>
              <w:t xml:space="preserve">Panel 2: Surveillance &amp; Detection (Dr. </w:t>
            </w:r>
            <w:proofErr w:type="spellStart"/>
            <w:r>
              <w:rPr>
                <w:rFonts w:ascii="Aileron" w:hAnsi="Aileron"/>
                <w:b w:val="0"/>
                <w:i/>
                <w:sz w:val="24"/>
                <w:szCs w:val="24"/>
              </w:rPr>
              <w:t>Hardham</w:t>
            </w:r>
            <w:proofErr w:type="spellEnd"/>
            <w:r w:rsidRPr="003E53C2">
              <w:rPr>
                <w:rFonts w:ascii="Aileron" w:hAnsi="Aileron"/>
                <w:b w:val="0"/>
                <w:i/>
                <w:sz w:val="24"/>
                <w:szCs w:val="24"/>
              </w:rPr>
              <w:t>)</w:t>
            </w:r>
          </w:p>
          <w:p w14:paraId="6B283E28" w14:textId="670A2884" w:rsidR="00A268B1" w:rsidRPr="00A73555" w:rsidRDefault="00A268B1" w:rsidP="00C635F7">
            <w:pPr>
              <w:ind w:left="720"/>
              <w:rPr>
                <w:rFonts w:ascii="Aileron" w:hAnsi="Aileron"/>
                <w:sz w:val="24"/>
                <w:szCs w:val="24"/>
              </w:rPr>
            </w:pPr>
            <w:r w:rsidRPr="003E53C2">
              <w:rPr>
                <w:rFonts w:ascii="Aileron" w:hAnsi="Aileron"/>
                <w:b w:val="0"/>
                <w:i/>
                <w:sz w:val="24"/>
                <w:szCs w:val="24"/>
              </w:rPr>
              <w:t xml:space="preserve">Panel </w:t>
            </w:r>
            <w:r>
              <w:rPr>
                <w:rFonts w:ascii="Aileron" w:hAnsi="Aileron"/>
                <w:b w:val="0"/>
                <w:i/>
                <w:sz w:val="24"/>
                <w:szCs w:val="24"/>
              </w:rPr>
              <w:t>3</w:t>
            </w:r>
            <w:r w:rsidRPr="003E53C2">
              <w:rPr>
                <w:rFonts w:ascii="Aileron" w:hAnsi="Aileron"/>
                <w:b w:val="0"/>
                <w:i/>
                <w:sz w:val="24"/>
                <w:szCs w:val="24"/>
              </w:rPr>
              <w:t xml:space="preserve">: </w:t>
            </w:r>
            <w:r>
              <w:rPr>
                <w:rFonts w:ascii="Aileron" w:hAnsi="Aileron"/>
                <w:b w:val="0"/>
                <w:i/>
                <w:sz w:val="24"/>
                <w:szCs w:val="24"/>
              </w:rPr>
              <w:t>Land Grant University</w:t>
            </w:r>
            <w:r w:rsidRPr="003E53C2">
              <w:rPr>
                <w:rFonts w:ascii="Aileron" w:hAnsi="Aileron"/>
                <w:b w:val="0"/>
                <w:i/>
                <w:sz w:val="24"/>
                <w:szCs w:val="24"/>
              </w:rPr>
              <w:t xml:space="preserve"> (Dr. </w:t>
            </w:r>
            <w:r>
              <w:rPr>
                <w:rFonts w:ascii="Aileron" w:hAnsi="Aileron"/>
                <w:b w:val="0"/>
                <w:i/>
                <w:sz w:val="24"/>
                <w:szCs w:val="24"/>
              </w:rPr>
              <w:t>Rudolph, Dr. Christopher-Hennings</w:t>
            </w:r>
            <w:r w:rsidRPr="003E53C2">
              <w:rPr>
                <w:rFonts w:ascii="Aileron" w:hAnsi="Aileron"/>
                <w:b w:val="0"/>
                <w:i/>
                <w:sz w:val="24"/>
                <w:szCs w:val="24"/>
              </w:rPr>
              <w:t>)</w:t>
            </w:r>
          </w:p>
        </w:tc>
      </w:tr>
      <w:tr w:rsidR="0079265D" w14:paraId="0D02FAEA" w14:textId="77777777" w:rsidTr="00895F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6"/>
            <w:shd w:val="clear" w:color="auto" w:fill="EBE3D4" w:themeFill="background2"/>
          </w:tcPr>
          <w:p w14:paraId="4CF2786E" w14:textId="4514FF71" w:rsidR="0079265D" w:rsidRPr="00C635F7" w:rsidRDefault="00C635F7" w:rsidP="00A7395D">
            <w:pPr>
              <w:ind w:left="720"/>
              <w:rPr>
                <w:rFonts w:ascii="Aileron" w:hAnsi="Aileron"/>
                <w:b w:val="0"/>
                <w:sz w:val="24"/>
                <w:szCs w:val="24"/>
              </w:rPr>
            </w:pPr>
            <w:r w:rsidRPr="00C635F7">
              <w:rPr>
                <w:rFonts w:ascii="Aileron" w:hAnsi="Aileron"/>
                <w:b w:val="0"/>
                <w:sz w:val="24"/>
                <w:szCs w:val="24"/>
              </w:rPr>
              <w:lastRenderedPageBreak/>
              <w:t xml:space="preserve">b. </w:t>
            </w:r>
            <w:r w:rsidR="00A7395D">
              <w:rPr>
                <w:rFonts w:ascii="Aileron" w:hAnsi="Aileron"/>
                <w:b w:val="0"/>
                <w:sz w:val="24"/>
                <w:szCs w:val="24"/>
              </w:rPr>
              <w:t>Encourage development of an Ag ADM network</w:t>
            </w:r>
            <w:r w:rsidR="000E7E28">
              <w:rPr>
                <w:rFonts w:ascii="Aileron" w:hAnsi="Aileron"/>
                <w:b w:val="0"/>
                <w:sz w:val="24"/>
                <w:szCs w:val="24"/>
              </w:rPr>
              <w:t>, co-located with land grant universities,</w:t>
            </w:r>
            <w:r w:rsidR="00A7395D">
              <w:rPr>
                <w:rFonts w:ascii="Aileron" w:hAnsi="Aileron"/>
                <w:b w:val="0"/>
                <w:sz w:val="24"/>
                <w:szCs w:val="24"/>
              </w:rPr>
              <w:t xml:space="preserve"> to support multiple partners, broad </w:t>
            </w:r>
            <w:r w:rsidR="000E65A1">
              <w:rPr>
                <w:rFonts w:ascii="Aileron" w:hAnsi="Aileron"/>
                <w:b w:val="0"/>
                <w:sz w:val="24"/>
                <w:szCs w:val="24"/>
              </w:rPr>
              <w:t xml:space="preserve">research </w:t>
            </w:r>
            <w:r w:rsidR="00A7395D">
              <w:rPr>
                <w:rFonts w:ascii="Aileron" w:hAnsi="Aileron"/>
                <w:b w:val="0"/>
                <w:sz w:val="24"/>
                <w:szCs w:val="24"/>
              </w:rPr>
              <w:t xml:space="preserve">portfolios, and novel manufacturing </w:t>
            </w:r>
          </w:p>
        </w:tc>
      </w:tr>
      <w:tr w:rsidR="00C461AA" w14:paraId="37879A40" w14:textId="77777777" w:rsidTr="00895FA0">
        <w:tc>
          <w:tcPr>
            <w:cnfStyle w:val="001000000000" w:firstRow="0" w:lastRow="0" w:firstColumn="1" w:lastColumn="0" w:oddVBand="0" w:evenVBand="0" w:oddHBand="0" w:evenHBand="0" w:firstRowFirstColumn="0" w:firstRowLastColumn="0" w:lastRowFirstColumn="0" w:lastRowLastColumn="0"/>
            <w:tcW w:w="9350" w:type="dxa"/>
            <w:gridSpan w:val="6"/>
            <w:shd w:val="clear" w:color="auto" w:fill="EBE3D4" w:themeFill="background2"/>
          </w:tcPr>
          <w:p w14:paraId="783B5122" w14:textId="77777777" w:rsidR="00C461AA" w:rsidRDefault="00A94569" w:rsidP="00A7395D">
            <w:pPr>
              <w:ind w:left="720"/>
              <w:rPr>
                <w:rFonts w:ascii="Aileron" w:hAnsi="Aileron"/>
                <w:bCs w:val="0"/>
                <w:i/>
                <w:sz w:val="24"/>
                <w:szCs w:val="24"/>
              </w:rPr>
            </w:pPr>
            <w:r w:rsidRPr="003E53C2">
              <w:rPr>
                <w:rFonts w:ascii="Aileron" w:hAnsi="Aileron"/>
                <w:b w:val="0"/>
                <w:i/>
                <w:sz w:val="24"/>
                <w:szCs w:val="24"/>
              </w:rPr>
              <w:t xml:space="preserve">Panel 2: Surveillance &amp; Detection (Dr. </w:t>
            </w:r>
            <w:proofErr w:type="spellStart"/>
            <w:r>
              <w:rPr>
                <w:rFonts w:ascii="Aileron" w:hAnsi="Aileron"/>
                <w:b w:val="0"/>
                <w:i/>
                <w:sz w:val="24"/>
                <w:szCs w:val="24"/>
              </w:rPr>
              <w:t>Hardham</w:t>
            </w:r>
            <w:proofErr w:type="spellEnd"/>
            <w:r w:rsidRPr="003E53C2">
              <w:rPr>
                <w:rFonts w:ascii="Aileron" w:hAnsi="Aileron"/>
                <w:b w:val="0"/>
                <w:i/>
                <w:sz w:val="24"/>
                <w:szCs w:val="24"/>
              </w:rPr>
              <w:t>)</w:t>
            </w:r>
          </w:p>
          <w:p w14:paraId="668FD913" w14:textId="16A489C1" w:rsidR="00A94569" w:rsidRPr="00C635F7" w:rsidRDefault="00A94569" w:rsidP="00A7395D">
            <w:pPr>
              <w:ind w:left="720"/>
              <w:rPr>
                <w:rFonts w:ascii="Aileron" w:hAnsi="Aileron"/>
                <w:sz w:val="24"/>
                <w:szCs w:val="24"/>
              </w:rPr>
            </w:pPr>
            <w:r w:rsidRPr="003E53C2">
              <w:rPr>
                <w:rFonts w:ascii="Aileron" w:hAnsi="Aileron"/>
                <w:b w:val="0"/>
                <w:i/>
                <w:sz w:val="24"/>
                <w:szCs w:val="24"/>
              </w:rPr>
              <w:t xml:space="preserve">Panel </w:t>
            </w:r>
            <w:r>
              <w:rPr>
                <w:rFonts w:ascii="Aileron" w:hAnsi="Aileron"/>
                <w:b w:val="0"/>
                <w:i/>
                <w:sz w:val="24"/>
                <w:szCs w:val="24"/>
              </w:rPr>
              <w:t>3</w:t>
            </w:r>
            <w:r w:rsidRPr="003E53C2">
              <w:rPr>
                <w:rFonts w:ascii="Aileron" w:hAnsi="Aileron"/>
                <w:b w:val="0"/>
                <w:i/>
                <w:sz w:val="24"/>
                <w:szCs w:val="24"/>
              </w:rPr>
              <w:t xml:space="preserve">: </w:t>
            </w:r>
            <w:r>
              <w:rPr>
                <w:rFonts w:ascii="Aileron" w:hAnsi="Aileron"/>
                <w:b w:val="0"/>
                <w:i/>
                <w:sz w:val="24"/>
                <w:szCs w:val="24"/>
              </w:rPr>
              <w:t>Land Grant University</w:t>
            </w:r>
            <w:r w:rsidRPr="003E53C2">
              <w:rPr>
                <w:rFonts w:ascii="Aileron" w:hAnsi="Aileron"/>
                <w:b w:val="0"/>
                <w:i/>
                <w:sz w:val="24"/>
                <w:szCs w:val="24"/>
              </w:rPr>
              <w:t xml:space="preserve"> (Dr. </w:t>
            </w:r>
            <w:r>
              <w:rPr>
                <w:rFonts w:ascii="Aileron" w:hAnsi="Aileron"/>
                <w:b w:val="0"/>
                <w:i/>
                <w:sz w:val="24"/>
                <w:szCs w:val="24"/>
              </w:rPr>
              <w:t>Rudolph</w:t>
            </w:r>
            <w:r w:rsidRPr="003E53C2">
              <w:rPr>
                <w:rFonts w:ascii="Aileron" w:hAnsi="Aileron"/>
                <w:b w:val="0"/>
                <w:i/>
                <w:sz w:val="24"/>
                <w:szCs w:val="24"/>
              </w:rPr>
              <w:t>)</w:t>
            </w:r>
          </w:p>
        </w:tc>
      </w:tr>
      <w:tr w:rsidR="00DB1B55" w14:paraId="3892F02D" w14:textId="77777777" w:rsidTr="00895F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6"/>
            <w:shd w:val="clear" w:color="auto" w:fill="BFAC88" w:themeFill="text2"/>
          </w:tcPr>
          <w:p w14:paraId="7DE0EA8C" w14:textId="5A79B615" w:rsidR="00DB1B55" w:rsidRPr="00825719" w:rsidRDefault="00DB1B55" w:rsidP="002F2A69">
            <w:pPr>
              <w:rPr>
                <w:rFonts w:ascii="Aileron Bold" w:hAnsi="Aileron Bold"/>
                <w:sz w:val="24"/>
                <w:szCs w:val="24"/>
              </w:rPr>
            </w:pPr>
            <w:r w:rsidRPr="00825719">
              <w:rPr>
                <w:rFonts w:ascii="Aileron Bold" w:hAnsi="Aileron Bold"/>
                <w:b w:val="0"/>
                <w:sz w:val="24"/>
                <w:szCs w:val="24"/>
              </w:rPr>
              <w:t>3. Bolster education and training programs that impact university, extension, industry and community partners.</w:t>
            </w:r>
          </w:p>
        </w:tc>
      </w:tr>
      <w:tr w:rsidR="00B814F7" w14:paraId="61DF64EE" w14:textId="77777777" w:rsidTr="00895FA0">
        <w:tc>
          <w:tcPr>
            <w:cnfStyle w:val="001000000000" w:firstRow="0" w:lastRow="0" w:firstColumn="1" w:lastColumn="0" w:oddVBand="0" w:evenVBand="0" w:oddHBand="0" w:evenHBand="0" w:firstRowFirstColumn="0" w:firstRowLastColumn="0" w:lastRowFirstColumn="0" w:lastRowLastColumn="0"/>
            <w:tcW w:w="9350" w:type="dxa"/>
            <w:gridSpan w:val="6"/>
            <w:shd w:val="clear" w:color="auto" w:fill="EBE3D4" w:themeFill="background2"/>
          </w:tcPr>
          <w:p w14:paraId="30C3C814" w14:textId="23194857" w:rsidR="00B814F7" w:rsidRDefault="00DD5E52" w:rsidP="0084611B">
            <w:pPr>
              <w:ind w:left="720"/>
              <w:rPr>
                <w:rFonts w:ascii="Aileron" w:hAnsi="Aileron"/>
                <w:b w:val="0"/>
                <w:sz w:val="24"/>
                <w:szCs w:val="24"/>
              </w:rPr>
            </w:pPr>
            <w:r>
              <w:rPr>
                <w:rFonts w:ascii="Aileron" w:hAnsi="Aileron"/>
                <w:b w:val="0"/>
                <w:sz w:val="24"/>
                <w:szCs w:val="24"/>
              </w:rPr>
              <w:t xml:space="preserve">a. Improve </w:t>
            </w:r>
            <w:r w:rsidRPr="00DD5E52">
              <w:rPr>
                <w:rFonts w:ascii="Aileron" w:hAnsi="Aileron"/>
                <w:b w:val="0"/>
                <w:sz w:val="24"/>
                <w:szCs w:val="24"/>
              </w:rPr>
              <w:t>communication</w:t>
            </w:r>
            <w:r>
              <w:rPr>
                <w:rFonts w:ascii="Aileron" w:hAnsi="Aileron"/>
                <w:b w:val="0"/>
                <w:sz w:val="24"/>
                <w:szCs w:val="24"/>
              </w:rPr>
              <w:t xml:space="preserve"> channels</w:t>
            </w:r>
            <w:r w:rsidRPr="00DD5E52">
              <w:rPr>
                <w:rFonts w:ascii="Aileron" w:hAnsi="Aileron"/>
                <w:b w:val="0"/>
                <w:sz w:val="24"/>
                <w:szCs w:val="24"/>
              </w:rPr>
              <w:t xml:space="preserve"> </w:t>
            </w:r>
            <w:r>
              <w:rPr>
                <w:rFonts w:ascii="Aileron" w:hAnsi="Aileron"/>
                <w:b w:val="0"/>
                <w:sz w:val="24"/>
                <w:szCs w:val="24"/>
              </w:rPr>
              <w:t>for</w:t>
            </w:r>
            <w:r w:rsidRPr="00DD5E52">
              <w:rPr>
                <w:rFonts w:ascii="Aileron" w:hAnsi="Aileron"/>
                <w:b w:val="0"/>
                <w:sz w:val="24"/>
                <w:szCs w:val="24"/>
              </w:rPr>
              <w:t xml:space="preserve"> threat and response mechanisms so </w:t>
            </w:r>
            <w:r>
              <w:rPr>
                <w:rFonts w:ascii="Aileron" w:hAnsi="Aileron"/>
                <w:b w:val="0"/>
                <w:sz w:val="24"/>
                <w:szCs w:val="24"/>
              </w:rPr>
              <w:t>industry and communities</w:t>
            </w:r>
            <w:r w:rsidRPr="00DD5E52">
              <w:rPr>
                <w:rFonts w:ascii="Aileron" w:hAnsi="Aileron"/>
                <w:b w:val="0"/>
                <w:sz w:val="24"/>
                <w:szCs w:val="24"/>
              </w:rPr>
              <w:t xml:space="preserve"> can prepare</w:t>
            </w:r>
            <w:r>
              <w:rPr>
                <w:rFonts w:ascii="Aileron" w:hAnsi="Aileron"/>
                <w:b w:val="0"/>
                <w:sz w:val="24"/>
                <w:szCs w:val="24"/>
              </w:rPr>
              <w:t>.</w:t>
            </w:r>
          </w:p>
        </w:tc>
      </w:tr>
      <w:tr w:rsidR="00C461AA" w14:paraId="461AB465" w14:textId="77777777" w:rsidTr="00895F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6"/>
            <w:shd w:val="clear" w:color="auto" w:fill="EBE3D4" w:themeFill="background2"/>
          </w:tcPr>
          <w:p w14:paraId="6127920C" w14:textId="19CC58E1" w:rsidR="00C461AA" w:rsidRDefault="003E53C2" w:rsidP="0084611B">
            <w:pPr>
              <w:ind w:left="720"/>
              <w:rPr>
                <w:rFonts w:ascii="Aileron" w:hAnsi="Aileron"/>
                <w:sz w:val="24"/>
                <w:szCs w:val="24"/>
              </w:rPr>
            </w:pPr>
            <w:r w:rsidRPr="00C461AA">
              <w:rPr>
                <w:rFonts w:ascii="Aileron" w:hAnsi="Aileron"/>
                <w:b w:val="0"/>
                <w:i/>
                <w:sz w:val="24"/>
                <w:szCs w:val="24"/>
              </w:rPr>
              <w:t xml:space="preserve">Panel 1: Response &amp; Recovery (Dr. </w:t>
            </w:r>
            <w:proofErr w:type="spellStart"/>
            <w:r w:rsidRPr="00C461AA">
              <w:rPr>
                <w:rFonts w:ascii="Aileron" w:hAnsi="Aileron"/>
                <w:b w:val="0"/>
                <w:i/>
                <w:sz w:val="24"/>
                <w:szCs w:val="24"/>
              </w:rPr>
              <w:t>Roehr</w:t>
            </w:r>
            <w:proofErr w:type="spellEnd"/>
            <w:r w:rsidRPr="00C461AA">
              <w:rPr>
                <w:rFonts w:ascii="Aileron" w:hAnsi="Aileron"/>
                <w:b w:val="0"/>
                <w:i/>
                <w:sz w:val="24"/>
                <w:szCs w:val="24"/>
              </w:rPr>
              <w:t xml:space="preserve"> &amp; Mr. </w:t>
            </w:r>
            <w:proofErr w:type="spellStart"/>
            <w:r w:rsidRPr="00C461AA">
              <w:rPr>
                <w:rFonts w:ascii="Aileron" w:hAnsi="Aileron"/>
                <w:b w:val="0"/>
                <w:i/>
                <w:sz w:val="24"/>
                <w:szCs w:val="24"/>
              </w:rPr>
              <w:t>Leachman</w:t>
            </w:r>
            <w:proofErr w:type="spellEnd"/>
            <w:r w:rsidRPr="00C461AA">
              <w:rPr>
                <w:rFonts w:ascii="Aileron" w:hAnsi="Aileron"/>
                <w:b w:val="0"/>
                <w:i/>
                <w:sz w:val="24"/>
                <w:szCs w:val="24"/>
              </w:rPr>
              <w:t>)</w:t>
            </w:r>
          </w:p>
        </w:tc>
      </w:tr>
      <w:tr w:rsidR="00B814F7" w14:paraId="31930CE3" w14:textId="77777777" w:rsidTr="00895FA0">
        <w:tc>
          <w:tcPr>
            <w:cnfStyle w:val="001000000000" w:firstRow="0" w:lastRow="0" w:firstColumn="1" w:lastColumn="0" w:oddVBand="0" w:evenVBand="0" w:oddHBand="0" w:evenHBand="0" w:firstRowFirstColumn="0" w:firstRowLastColumn="0" w:lastRowFirstColumn="0" w:lastRowLastColumn="0"/>
            <w:tcW w:w="9350" w:type="dxa"/>
            <w:gridSpan w:val="6"/>
            <w:shd w:val="clear" w:color="auto" w:fill="EBE3D4" w:themeFill="background2"/>
          </w:tcPr>
          <w:p w14:paraId="135B5330" w14:textId="45D58B94" w:rsidR="00B814F7" w:rsidRDefault="000E7E28" w:rsidP="000E7E28">
            <w:pPr>
              <w:ind w:left="720"/>
              <w:rPr>
                <w:rFonts w:ascii="Aileron" w:hAnsi="Aileron"/>
                <w:b w:val="0"/>
                <w:sz w:val="24"/>
                <w:szCs w:val="24"/>
              </w:rPr>
            </w:pPr>
            <w:r>
              <w:rPr>
                <w:rFonts w:ascii="Aileron" w:hAnsi="Aileron"/>
                <w:b w:val="0"/>
                <w:sz w:val="24"/>
                <w:szCs w:val="24"/>
              </w:rPr>
              <w:t>b. Recommend increased funding for externally engaged land grant university offerings, such as online and certificate programs, that address current and future agriculture security workforce skills (ex: data analytics, cyberbiosecurity, CRISPR-Cas)</w:t>
            </w:r>
          </w:p>
        </w:tc>
      </w:tr>
      <w:tr w:rsidR="00C461AA" w14:paraId="65150FF3" w14:textId="77777777" w:rsidTr="00895F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6"/>
            <w:shd w:val="clear" w:color="auto" w:fill="EBE3D4" w:themeFill="background2"/>
          </w:tcPr>
          <w:p w14:paraId="2952B5CC" w14:textId="04065E4E" w:rsidR="00C461AA" w:rsidRDefault="00A94569" w:rsidP="000E7E28">
            <w:pPr>
              <w:ind w:left="720"/>
              <w:rPr>
                <w:rFonts w:ascii="Aileron" w:hAnsi="Aileron"/>
                <w:sz w:val="24"/>
                <w:szCs w:val="24"/>
              </w:rPr>
            </w:pPr>
            <w:r w:rsidRPr="003E53C2">
              <w:rPr>
                <w:rFonts w:ascii="Aileron" w:hAnsi="Aileron"/>
                <w:b w:val="0"/>
                <w:i/>
                <w:sz w:val="24"/>
                <w:szCs w:val="24"/>
              </w:rPr>
              <w:t xml:space="preserve">Panel </w:t>
            </w:r>
            <w:r>
              <w:rPr>
                <w:rFonts w:ascii="Aileron" w:hAnsi="Aileron"/>
                <w:b w:val="0"/>
                <w:i/>
                <w:sz w:val="24"/>
                <w:szCs w:val="24"/>
              </w:rPr>
              <w:t>3</w:t>
            </w:r>
            <w:r w:rsidRPr="003E53C2">
              <w:rPr>
                <w:rFonts w:ascii="Aileron" w:hAnsi="Aileron"/>
                <w:b w:val="0"/>
                <w:i/>
                <w:sz w:val="24"/>
                <w:szCs w:val="24"/>
              </w:rPr>
              <w:t xml:space="preserve">: </w:t>
            </w:r>
            <w:r>
              <w:rPr>
                <w:rFonts w:ascii="Aileron" w:hAnsi="Aileron"/>
                <w:b w:val="0"/>
                <w:i/>
                <w:sz w:val="24"/>
                <w:szCs w:val="24"/>
              </w:rPr>
              <w:t>Land Grant University</w:t>
            </w:r>
            <w:r w:rsidRPr="003E53C2">
              <w:rPr>
                <w:rFonts w:ascii="Aileron" w:hAnsi="Aileron"/>
                <w:b w:val="0"/>
                <w:i/>
                <w:sz w:val="24"/>
                <w:szCs w:val="24"/>
              </w:rPr>
              <w:t xml:space="preserve"> (Dr. </w:t>
            </w:r>
            <w:r>
              <w:rPr>
                <w:rFonts w:ascii="Aileron" w:hAnsi="Aileron"/>
                <w:b w:val="0"/>
                <w:i/>
                <w:sz w:val="24"/>
                <w:szCs w:val="24"/>
              </w:rPr>
              <w:t>Rudolph</w:t>
            </w:r>
            <w:r w:rsidR="00A268B1">
              <w:rPr>
                <w:rFonts w:ascii="Aileron" w:hAnsi="Aileron"/>
                <w:b w:val="0"/>
                <w:i/>
                <w:sz w:val="24"/>
                <w:szCs w:val="24"/>
              </w:rPr>
              <w:t>, Dr. Christopher-Hennings</w:t>
            </w:r>
            <w:r w:rsidRPr="003E53C2">
              <w:rPr>
                <w:rFonts w:ascii="Aileron" w:hAnsi="Aileron"/>
                <w:b w:val="0"/>
                <w:i/>
                <w:sz w:val="24"/>
                <w:szCs w:val="24"/>
              </w:rPr>
              <w:t>)</w:t>
            </w:r>
          </w:p>
        </w:tc>
      </w:tr>
      <w:tr w:rsidR="00B814F7" w14:paraId="241959F5" w14:textId="77777777" w:rsidTr="00895FA0">
        <w:tc>
          <w:tcPr>
            <w:cnfStyle w:val="001000000000" w:firstRow="0" w:lastRow="0" w:firstColumn="1" w:lastColumn="0" w:oddVBand="0" w:evenVBand="0" w:oddHBand="0" w:evenHBand="0" w:firstRowFirstColumn="0" w:firstRowLastColumn="0" w:lastRowFirstColumn="0" w:lastRowLastColumn="0"/>
            <w:tcW w:w="9350" w:type="dxa"/>
            <w:gridSpan w:val="6"/>
            <w:shd w:val="clear" w:color="auto" w:fill="BFAC88" w:themeFill="text2"/>
          </w:tcPr>
          <w:p w14:paraId="613E0A2D" w14:textId="179B4A3B" w:rsidR="00B814F7" w:rsidRPr="00825719" w:rsidRDefault="00B814F7" w:rsidP="002F2A69">
            <w:pPr>
              <w:rPr>
                <w:rFonts w:ascii="Aileron Bold" w:hAnsi="Aileron Bold"/>
                <w:b w:val="0"/>
                <w:sz w:val="24"/>
                <w:szCs w:val="24"/>
              </w:rPr>
            </w:pPr>
            <w:r w:rsidRPr="00825719">
              <w:rPr>
                <w:rFonts w:ascii="Aileron Bold" w:hAnsi="Aileron Bold"/>
                <w:b w:val="0"/>
                <w:sz w:val="24"/>
                <w:szCs w:val="24"/>
              </w:rPr>
              <w:t xml:space="preserve">4. </w:t>
            </w:r>
            <w:r w:rsidR="00AE5EAC">
              <w:rPr>
                <w:rFonts w:ascii="Aileron Bold" w:hAnsi="Aileron Bold"/>
                <w:b w:val="0"/>
                <w:sz w:val="24"/>
                <w:szCs w:val="24"/>
              </w:rPr>
              <w:t xml:space="preserve">Reinforce the </w:t>
            </w:r>
            <w:r w:rsidR="000E65A1">
              <w:rPr>
                <w:rFonts w:ascii="Aileron Bold" w:hAnsi="Aileron Bold"/>
                <w:b w:val="0"/>
                <w:sz w:val="24"/>
                <w:szCs w:val="24"/>
              </w:rPr>
              <w:t>necessity</w:t>
            </w:r>
            <w:r w:rsidR="00AE5EAC">
              <w:rPr>
                <w:rFonts w:ascii="Aileron Bold" w:hAnsi="Aileron Bold"/>
                <w:b w:val="0"/>
                <w:sz w:val="24"/>
                <w:szCs w:val="24"/>
              </w:rPr>
              <w:t xml:space="preserve"> </w:t>
            </w:r>
            <w:r w:rsidR="000E65A1">
              <w:rPr>
                <w:rFonts w:ascii="Aileron Bold" w:hAnsi="Aileron Bold"/>
                <w:b w:val="0"/>
                <w:sz w:val="24"/>
                <w:szCs w:val="24"/>
              </w:rPr>
              <w:t>of</w:t>
            </w:r>
            <w:r w:rsidR="00AE5EAC">
              <w:rPr>
                <w:rFonts w:ascii="Aileron Bold" w:hAnsi="Aileron Bold"/>
                <w:b w:val="0"/>
                <w:sz w:val="24"/>
                <w:szCs w:val="24"/>
              </w:rPr>
              <w:t xml:space="preserve"> international partnerships and </w:t>
            </w:r>
            <w:r w:rsidR="00532E5E">
              <w:rPr>
                <w:rFonts w:ascii="Aileron Bold" w:hAnsi="Aileron Bold"/>
                <w:b w:val="0"/>
                <w:sz w:val="24"/>
                <w:szCs w:val="24"/>
              </w:rPr>
              <w:t xml:space="preserve">collaborative </w:t>
            </w:r>
            <w:r w:rsidR="00AE5EAC">
              <w:rPr>
                <w:rFonts w:ascii="Aileron Bold" w:hAnsi="Aileron Bold"/>
                <w:b w:val="0"/>
                <w:sz w:val="24"/>
                <w:szCs w:val="24"/>
              </w:rPr>
              <w:t>engagement in agriculture biosecurity.</w:t>
            </w:r>
          </w:p>
        </w:tc>
      </w:tr>
      <w:tr w:rsidR="0079265D" w14:paraId="5E6AD861" w14:textId="77777777" w:rsidTr="009D21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6"/>
            <w:shd w:val="clear" w:color="auto" w:fill="EBE3D4" w:themeFill="background2"/>
          </w:tcPr>
          <w:p w14:paraId="2937D81F" w14:textId="2EFA2004" w:rsidR="0079265D" w:rsidRPr="00B814F7" w:rsidRDefault="00466ADA" w:rsidP="00895FA0">
            <w:pPr>
              <w:ind w:left="705"/>
              <w:rPr>
                <w:rFonts w:ascii="Aileron" w:hAnsi="Aileron"/>
                <w:b w:val="0"/>
                <w:sz w:val="24"/>
                <w:szCs w:val="24"/>
              </w:rPr>
            </w:pPr>
            <w:r>
              <w:rPr>
                <w:rFonts w:ascii="Aileron" w:hAnsi="Aileron"/>
                <w:b w:val="0"/>
                <w:sz w:val="24"/>
                <w:szCs w:val="24"/>
              </w:rPr>
              <w:t xml:space="preserve">a. </w:t>
            </w:r>
            <w:r w:rsidRPr="00466ADA">
              <w:rPr>
                <w:rFonts w:ascii="Aileron" w:hAnsi="Aileron"/>
                <w:b w:val="0"/>
                <w:sz w:val="24"/>
                <w:szCs w:val="24"/>
              </w:rPr>
              <w:t>Support the international mission of land grants to establish and engage new programs of international engagement focused on Ag Biosecurity</w:t>
            </w:r>
          </w:p>
        </w:tc>
      </w:tr>
      <w:tr w:rsidR="00C461AA" w14:paraId="4EA0B606" w14:textId="77777777" w:rsidTr="009D2177">
        <w:tc>
          <w:tcPr>
            <w:cnfStyle w:val="001000000000" w:firstRow="0" w:lastRow="0" w:firstColumn="1" w:lastColumn="0" w:oddVBand="0" w:evenVBand="0" w:oddHBand="0" w:evenHBand="0" w:firstRowFirstColumn="0" w:firstRowLastColumn="0" w:lastRowFirstColumn="0" w:lastRowLastColumn="0"/>
            <w:tcW w:w="9350" w:type="dxa"/>
            <w:gridSpan w:val="6"/>
            <w:shd w:val="clear" w:color="auto" w:fill="EBE3D4" w:themeFill="background2"/>
          </w:tcPr>
          <w:p w14:paraId="697F2AFA" w14:textId="48847A7E" w:rsidR="00C461AA" w:rsidRDefault="00A94569" w:rsidP="00895FA0">
            <w:pPr>
              <w:ind w:left="705"/>
              <w:rPr>
                <w:rFonts w:ascii="Aileron" w:hAnsi="Aileron"/>
                <w:sz w:val="24"/>
                <w:szCs w:val="24"/>
              </w:rPr>
            </w:pPr>
            <w:r w:rsidRPr="003E53C2">
              <w:rPr>
                <w:rFonts w:ascii="Aileron" w:hAnsi="Aileron"/>
                <w:b w:val="0"/>
                <w:i/>
                <w:sz w:val="24"/>
                <w:szCs w:val="24"/>
              </w:rPr>
              <w:t xml:space="preserve">Panel </w:t>
            </w:r>
            <w:r>
              <w:rPr>
                <w:rFonts w:ascii="Aileron" w:hAnsi="Aileron"/>
                <w:b w:val="0"/>
                <w:i/>
                <w:sz w:val="24"/>
                <w:szCs w:val="24"/>
              </w:rPr>
              <w:t>3</w:t>
            </w:r>
            <w:r w:rsidRPr="003E53C2">
              <w:rPr>
                <w:rFonts w:ascii="Aileron" w:hAnsi="Aileron"/>
                <w:b w:val="0"/>
                <w:i/>
                <w:sz w:val="24"/>
                <w:szCs w:val="24"/>
              </w:rPr>
              <w:t xml:space="preserve">: </w:t>
            </w:r>
            <w:r>
              <w:rPr>
                <w:rFonts w:ascii="Aileron" w:hAnsi="Aileron"/>
                <w:b w:val="0"/>
                <w:i/>
                <w:sz w:val="24"/>
                <w:szCs w:val="24"/>
              </w:rPr>
              <w:t>Land Grant University</w:t>
            </w:r>
            <w:r w:rsidRPr="003E53C2">
              <w:rPr>
                <w:rFonts w:ascii="Aileron" w:hAnsi="Aileron"/>
                <w:b w:val="0"/>
                <w:i/>
                <w:sz w:val="24"/>
                <w:szCs w:val="24"/>
              </w:rPr>
              <w:t xml:space="preserve"> (Dr. </w:t>
            </w:r>
            <w:r>
              <w:rPr>
                <w:rFonts w:ascii="Aileron" w:hAnsi="Aileron"/>
                <w:b w:val="0"/>
                <w:i/>
                <w:sz w:val="24"/>
                <w:szCs w:val="24"/>
              </w:rPr>
              <w:t>Rudolph</w:t>
            </w:r>
            <w:r w:rsidRPr="003E53C2">
              <w:rPr>
                <w:rFonts w:ascii="Aileron" w:hAnsi="Aileron"/>
                <w:b w:val="0"/>
                <w:i/>
                <w:sz w:val="24"/>
                <w:szCs w:val="24"/>
              </w:rPr>
              <w:t>)</w:t>
            </w:r>
          </w:p>
        </w:tc>
      </w:tr>
      <w:tr w:rsidR="0079265D" w14:paraId="5985EBF9" w14:textId="77777777" w:rsidTr="009D21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6"/>
            <w:shd w:val="clear" w:color="auto" w:fill="EBE3D4" w:themeFill="background2"/>
          </w:tcPr>
          <w:p w14:paraId="31DF2B1E" w14:textId="1633F011" w:rsidR="0079265D" w:rsidRPr="00B814F7" w:rsidRDefault="00466ADA" w:rsidP="00895FA0">
            <w:pPr>
              <w:ind w:left="705"/>
              <w:rPr>
                <w:rFonts w:ascii="Aileron" w:hAnsi="Aileron"/>
                <w:b w:val="0"/>
                <w:sz w:val="24"/>
                <w:szCs w:val="24"/>
              </w:rPr>
            </w:pPr>
            <w:r>
              <w:rPr>
                <w:rFonts w:ascii="Aileron" w:hAnsi="Aileron"/>
                <w:b w:val="0"/>
                <w:sz w:val="24"/>
                <w:szCs w:val="24"/>
              </w:rPr>
              <w:t xml:space="preserve">b. </w:t>
            </w:r>
            <w:r w:rsidRPr="00466ADA">
              <w:rPr>
                <w:rFonts w:ascii="Aileron" w:hAnsi="Aileron"/>
                <w:b w:val="0"/>
                <w:sz w:val="24"/>
                <w:szCs w:val="24"/>
              </w:rPr>
              <w:t>Encourage enhanced focused support for international land grant activity in Ag Biosecurity and One Health</w:t>
            </w:r>
            <w:r>
              <w:rPr>
                <w:rFonts w:ascii="Aileron" w:hAnsi="Aileron"/>
                <w:b w:val="0"/>
                <w:sz w:val="24"/>
                <w:szCs w:val="24"/>
              </w:rPr>
              <w:t>,</w:t>
            </w:r>
            <w:r w:rsidRPr="00466ADA">
              <w:rPr>
                <w:rFonts w:ascii="Aileron" w:hAnsi="Aileron"/>
                <w:b w:val="0"/>
                <w:sz w:val="24"/>
                <w:szCs w:val="24"/>
              </w:rPr>
              <w:t xml:space="preserve"> especially in </w:t>
            </w:r>
            <w:r>
              <w:rPr>
                <w:rFonts w:ascii="Aileron" w:hAnsi="Aileron"/>
                <w:b w:val="0"/>
                <w:sz w:val="24"/>
                <w:szCs w:val="24"/>
              </w:rPr>
              <w:t xml:space="preserve">current international </w:t>
            </w:r>
            <w:r w:rsidRPr="00466ADA">
              <w:rPr>
                <w:rFonts w:ascii="Aileron" w:hAnsi="Aileron"/>
                <w:b w:val="0"/>
                <w:sz w:val="24"/>
                <w:szCs w:val="24"/>
              </w:rPr>
              <w:t>outbreak regions.</w:t>
            </w:r>
          </w:p>
        </w:tc>
      </w:tr>
      <w:tr w:rsidR="00C461AA" w14:paraId="33E3009C" w14:textId="77777777" w:rsidTr="009D2177">
        <w:tc>
          <w:tcPr>
            <w:cnfStyle w:val="001000000000" w:firstRow="0" w:lastRow="0" w:firstColumn="1" w:lastColumn="0" w:oddVBand="0" w:evenVBand="0" w:oddHBand="0" w:evenHBand="0" w:firstRowFirstColumn="0" w:firstRowLastColumn="0" w:lastRowFirstColumn="0" w:lastRowLastColumn="0"/>
            <w:tcW w:w="9350" w:type="dxa"/>
            <w:gridSpan w:val="6"/>
            <w:shd w:val="clear" w:color="auto" w:fill="EBE3D4" w:themeFill="background2"/>
          </w:tcPr>
          <w:p w14:paraId="2918B4F6" w14:textId="5620EB0D" w:rsidR="00C461AA" w:rsidRDefault="00A94569" w:rsidP="00895FA0">
            <w:pPr>
              <w:ind w:left="705"/>
              <w:rPr>
                <w:rFonts w:ascii="Aileron" w:hAnsi="Aileron"/>
                <w:sz w:val="24"/>
                <w:szCs w:val="24"/>
              </w:rPr>
            </w:pPr>
            <w:r w:rsidRPr="003E53C2">
              <w:rPr>
                <w:rFonts w:ascii="Aileron" w:hAnsi="Aileron"/>
                <w:b w:val="0"/>
                <w:i/>
                <w:sz w:val="24"/>
                <w:szCs w:val="24"/>
              </w:rPr>
              <w:t xml:space="preserve">Panel </w:t>
            </w:r>
            <w:r>
              <w:rPr>
                <w:rFonts w:ascii="Aileron" w:hAnsi="Aileron"/>
                <w:b w:val="0"/>
                <w:i/>
                <w:sz w:val="24"/>
                <w:szCs w:val="24"/>
              </w:rPr>
              <w:t>3</w:t>
            </w:r>
            <w:r w:rsidRPr="003E53C2">
              <w:rPr>
                <w:rFonts w:ascii="Aileron" w:hAnsi="Aileron"/>
                <w:b w:val="0"/>
                <w:i/>
                <w:sz w:val="24"/>
                <w:szCs w:val="24"/>
              </w:rPr>
              <w:t xml:space="preserve">: </w:t>
            </w:r>
            <w:r>
              <w:rPr>
                <w:rFonts w:ascii="Aileron" w:hAnsi="Aileron"/>
                <w:b w:val="0"/>
                <w:i/>
                <w:sz w:val="24"/>
                <w:szCs w:val="24"/>
              </w:rPr>
              <w:t>Land Grant University</w:t>
            </w:r>
            <w:r w:rsidRPr="003E53C2">
              <w:rPr>
                <w:rFonts w:ascii="Aileron" w:hAnsi="Aileron"/>
                <w:b w:val="0"/>
                <w:i/>
                <w:sz w:val="24"/>
                <w:szCs w:val="24"/>
              </w:rPr>
              <w:t xml:space="preserve"> (Dr. </w:t>
            </w:r>
            <w:r>
              <w:rPr>
                <w:rFonts w:ascii="Aileron" w:hAnsi="Aileron"/>
                <w:b w:val="0"/>
                <w:i/>
                <w:sz w:val="24"/>
                <w:szCs w:val="24"/>
              </w:rPr>
              <w:t>Rudolph</w:t>
            </w:r>
            <w:r w:rsidR="00BC0D9C">
              <w:rPr>
                <w:rFonts w:ascii="Aileron" w:hAnsi="Aileron"/>
                <w:b w:val="0"/>
                <w:i/>
                <w:sz w:val="24"/>
                <w:szCs w:val="24"/>
              </w:rPr>
              <w:t>, Dr. Mohapatra</w:t>
            </w:r>
            <w:r w:rsidRPr="003E53C2">
              <w:rPr>
                <w:rFonts w:ascii="Aileron" w:hAnsi="Aileron"/>
                <w:b w:val="0"/>
                <w:i/>
                <w:sz w:val="24"/>
                <w:szCs w:val="24"/>
              </w:rPr>
              <w:t>)</w:t>
            </w:r>
          </w:p>
        </w:tc>
      </w:tr>
      <w:tr w:rsidR="00B814F7" w14:paraId="6C15B495" w14:textId="77777777" w:rsidTr="00895F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6"/>
            <w:shd w:val="clear" w:color="auto" w:fill="BFAC88" w:themeFill="text2"/>
          </w:tcPr>
          <w:p w14:paraId="4C080E34" w14:textId="4DAA3D22" w:rsidR="00D256AA" w:rsidRPr="00B12F78" w:rsidRDefault="00D256AA" w:rsidP="002F2A69">
            <w:pPr>
              <w:rPr>
                <w:rFonts w:ascii="Aileron Bold" w:hAnsi="Aileron Bold"/>
                <w:bCs w:val="0"/>
                <w:sz w:val="24"/>
                <w:szCs w:val="24"/>
              </w:rPr>
            </w:pPr>
            <w:r w:rsidRPr="00B12F78">
              <w:rPr>
                <w:rFonts w:ascii="Aileron Bold" w:hAnsi="Aileron Bold"/>
                <w:b w:val="0"/>
                <w:sz w:val="24"/>
                <w:szCs w:val="24"/>
              </w:rPr>
              <w:t>5. Develop a more robust understanding of socio-cultural factors that impact consumer and stakeholder behaviors in Ag Biosecurity</w:t>
            </w:r>
          </w:p>
        </w:tc>
      </w:tr>
      <w:tr w:rsidR="00D256AA" w14:paraId="60D172C1" w14:textId="77777777" w:rsidTr="00B12F78">
        <w:trPr>
          <w:trHeight w:val="108"/>
        </w:trPr>
        <w:tc>
          <w:tcPr>
            <w:cnfStyle w:val="001000000000" w:firstRow="0" w:lastRow="0" w:firstColumn="1" w:lastColumn="0" w:oddVBand="0" w:evenVBand="0" w:oddHBand="0" w:evenHBand="0" w:firstRowFirstColumn="0" w:firstRowLastColumn="0" w:lastRowFirstColumn="0" w:lastRowLastColumn="0"/>
            <w:tcW w:w="9350" w:type="dxa"/>
            <w:gridSpan w:val="6"/>
            <w:shd w:val="clear" w:color="auto" w:fill="EBE3D4" w:themeFill="background2"/>
          </w:tcPr>
          <w:p w14:paraId="2932AAB6" w14:textId="713DA480" w:rsidR="00C461AA" w:rsidRPr="00FF3D31" w:rsidRDefault="009D2177" w:rsidP="00FF3D31">
            <w:pPr>
              <w:ind w:left="705"/>
              <w:rPr>
                <w:rFonts w:ascii="Aileron" w:hAnsi="Aileron"/>
                <w:bCs w:val="0"/>
                <w:sz w:val="24"/>
                <w:szCs w:val="24"/>
              </w:rPr>
            </w:pPr>
            <w:r w:rsidRPr="009D2177">
              <w:rPr>
                <w:rFonts w:ascii="Aileron" w:hAnsi="Aileron"/>
                <w:b w:val="0"/>
                <w:sz w:val="24"/>
                <w:szCs w:val="24"/>
              </w:rPr>
              <w:t xml:space="preserve">a. </w:t>
            </w:r>
            <w:r w:rsidR="00644636" w:rsidRPr="009D2177">
              <w:rPr>
                <w:rFonts w:ascii="Aileron" w:hAnsi="Aileron"/>
                <w:b w:val="0"/>
                <w:sz w:val="24"/>
                <w:szCs w:val="24"/>
              </w:rPr>
              <w:t xml:space="preserve">Investigate </w:t>
            </w:r>
            <w:r w:rsidR="006810F1" w:rsidRPr="009D2177">
              <w:rPr>
                <w:rFonts w:ascii="Aileron" w:hAnsi="Aileron"/>
                <w:b w:val="0"/>
                <w:sz w:val="24"/>
                <w:szCs w:val="24"/>
              </w:rPr>
              <w:t>the underlying barriers to stakeholder, community, and policy adoption and implementation of innovations in Ag Biosecurity</w:t>
            </w:r>
          </w:p>
          <w:p w14:paraId="47B0B30A" w14:textId="3F077BE9" w:rsidR="006810F1" w:rsidRPr="00D256AA" w:rsidRDefault="009D2177" w:rsidP="009D2177">
            <w:pPr>
              <w:pStyle w:val="ListParagraph"/>
              <w:rPr>
                <w:rFonts w:ascii="Aileron" w:hAnsi="Aileron"/>
                <w:sz w:val="24"/>
                <w:szCs w:val="24"/>
              </w:rPr>
            </w:pPr>
            <w:r>
              <w:rPr>
                <w:rFonts w:ascii="Aileron" w:hAnsi="Aileron"/>
                <w:b w:val="0"/>
                <w:sz w:val="24"/>
                <w:szCs w:val="24"/>
              </w:rPr>
              <w:t xml:space="preserve">b. </w:t>
            </w:r>
            <w:r w:rsidR="006810F1" w:rsidRPr="006810F1">
              <w:rPr>
                <w:rFonts w:ascii="Aileron" w:hAnsi="Aileron"/>
                <w:b w:val="0"/>
                <w:sz w:val="24"/>
                <w:szCs w:val="24"/>
              </w:rPr>
              <w:t>Gain an improved understanding of motivations and incentives that might drive increased uptake of innovations and/or that overcome barriers to utilization of best practices</w:t>
            </w:r>
          </w:p>
        </w:tc>
      </w:tr>
      <w:tr w:rsidR="00D256AA" w14:paraId="221A1771" w14:textId="77777777" w:rsidTr="00B12F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6"/>
            <w:shd w:val="clear" w:color="auto" w:fill="EBE3D4" w:themeFill="background2"/>
          </w:tcPr>
          <w:p w14:paraId="60D68E33" w14:textId="77777777" w:rsidR="00D256AA" w:rsidRDefault="00D256AA" w:rsidP="002F2A69">
            <w:pPr>
              <w:rPr>
                <w:rFonts w:ascii="Aileron" w:hAnsi="Aileron"/>
                <w:b w:val="0"/>
                <w:sz w:val="24"/>
                <w:szCs w:val="24"/>
              </w:rPr>
            </w:pPr>
          </w:p>
        </w:tc>
      </w:tr>
    </w:tbl>
    <w:p w14:paraId="7D2150B9" w14:textId="77777777" w:rsidR="00224301" w:rsidRPr="00D30369" w:rsidRDefault="00224301" w:rsidP="00D30369">
      <w:pPr>
        <w:spacing w:after="0" w:line="240" w:lineRule="auto"/>
        <w:rPr>
          <w:rFonts w:ascii="Aileron" w:hAnsi="Aileron"/>
          <w:sz w:val="24"/>
          <w:szCs w:val="24"/>
        </w:rPr>
      </w:pPr>
    </w:p>
    <w:p w14:paraId="601E7DB8" w14:textId="77777777" w:rsidR="000462B4" w:rsidRDefault="000462B4" w:rsidP="000462B4">
      <w:pPr>
        <w:spacing w:after="0"/>
        <w:rPr>
          <w:rFonts w:ascii="Aileron" w:hAnsi="Aileron"/>
          <w:sz w:val="24"/>
          <w:szCs w:val="24"/>
        </w:rPr>
      </w:pPr>
    </w:p>
    <w:p w14:paraId="03AD16AA" w14:textId="77777777" w:rsidR="00A92463" w:rsidRPr="00886DE3" w:rsidRDefault="00A92463" w:rsidP="00063394">
      <w:pPr>
        <w:spacing w:after="0"/>
        <w:rPr>
          <w:rFonts w:ascii="Aileron" w:hAnsi="Aileron"/>
          <w:sz w:val="24"/>
          <w:szCs w:val="24"/>
        </w:rPr>
      </w:pPr>
    </w:p>
    <w:p w14:paraId="24A18F99" w14:textId="66045F5F" w:rsidR="008F5902" w:rsidRDefault="008F5902" w:rsidP="00063394">
      <w:pPr>
        <w:spacing w:after="0"/>
        <w:rPr>
          <w:rFonts w:ascii="Aileron Bold" w:hAnsi="Aileron Bold"/>
          <w:color w:val="0A2342" w:themeColor="text1"/>
          <w:sz w:val="28"/>
          <w:szCs w:val="28"/>
        </w:rPr>
      </w:pPr>
      <w:r w:rsidRPr="008F5902">
        <w:rPr>
          <w:rFonts w:ascii="Aileron Bold" w:hAnsi="Aileron Bold"/>
          <w:color w:val="0A2342" w:themeColor="text1"/>
          <w:sz w:val="28"/>
          <w:szCs w:val="28"/>
        </w:rPr>
        <w:t xml:space="preserve">Role of Land Grant </w:t>
      </w:r>
      <w:r w:rsidR="00FF3D31">
        <w:rPr>
          <w:rFonts w:ascii="Aileron Bold" w:hAnsi="Aileron Bold"/>
          <w:color w:val="0A2342" w:themeColor="text1"/>
          <w:sz w:val="28"/>
          <w:szCs w:val="28"/>
        </w:rPr>
        <w:t>Universities</w:t>
      </w:r>
      <w:r w:rsidRPr="008F5902">
        <w:rPr>
          <w:rFonts w:ascii="Aileron Bold" w:hAnsi="Aileron Bold"/>
          <w:color w:val="0A2342" w:themeColor="text1"/>
          <w:sz w:val="28"/>
          <w:szCs w:val="28"/>
        </w:rPr>
        <w:t xml:space="preserve"> in </w:t>
      </w:r>
      <w:proofErr w:type="spellStart"/>
      <w:r w:rsidRPr="008F5902">
        <w:rPr>
          <w:rFonts w:ascii="Aileron Bold" w:hAnsi="Aileron Bold"/>
          <w:color w:val="0A2342" w:themeColor="text1"/>
          <w:sz w:val="28"/>
          <w:szCs w:val="28"/>
        </w:rPr>
        <w:t>Agrodefen</w:t>
      </w:r>
      <w:r w:rsidR="00750BF8">
        <w:rPr>
          <w:rFonts w:ascii="Aileron Bold" w:hAnsi="Aileron Bold"/>
          <w:color w:val="0A2342" w:themeColor="text1"/>
          <w:sz w:val="28"/>
          <w:szCs w:val="28"/>
        </w:rPr>
        <w:t>s</w:t>
      </w:r>
      <w:r w:rsidRPr="008F5902">
        <w:rPr>
          <w:rFonts w:ascii="Aileron Bold" w:hAnsi="Aileron Bold"/>
          <w:color w:val="0A2342" w:themeColor="text1"/>
          <w:sz w:val="28"/>
          <w:szCs w:val="28"/>
        </w:rPr>
        <w:t>e</w:t>
      </w:r>
      <w:proofErr w:type="spellEnd"/>
    </w:p>
    <w:p w14:paraId="50CBB5AC" w14:textId="60F5C812" w:rsidR="00D24679" w:rsidRDefault="00D24679" w:rsidP="00063394">
      <w:pPr>
        <w:spacing w:after="0"/>
        <w:rPr>
          <w:rFonts w:ascii="Aileron" w:hAnsi="Aileron"/>
          <w:i/>
          <w:color w:val="0A2342" w:themeColor="text1"/>
          <w:sz w:val="24"/>
          <w:szCs w:val="24"/>
        </w:rPr>
      </w:pPr>
      <w:r>
        <w:rPr>
          <w:rFonts w:ascii="Aileron" w:hAnsi="Aileron"/>
          <w:i/>
          <w:color w:val="0A2342" w:themeColor="text1"/>
          <w:sz w:val="24"/>
          <w:szCs w:val="24"/>
        </w:rPr>
        <w:t>On behalf of the Coalition for Epi Response Engagement and Science (CERES)</w:t>
      </w:r>
    </w:p>
    <w:p w14:paraId="500932E1" w14:textId="77777777" w:rsidR="00D24679" w:rsidRPr="00D24679" w:rsidRDefault="00D24679" w:rsidP="00063394">
      <w:pPr>
        <w:spacing w:after="0"/>
        <w:rPr>
          <w:rFonts w:ascii="Aileron" w:hAnsi="Aileron"/>
          <w:i/>
          <w:color w:val="0A2342" w:themeColor="text1"/>
          <w:sz w:val="24"/>
          <w:szCs w:val="24"/>
        </w:rPr>
      </w:pPr>
    </w:p>
    <w:p w14:paraId="0A64DB12" w14:textId="5B616227" w:rsidR="006067AE" w:rsidRDefault="0043422E" w:rsidP="00446D86">
      <w:pPr>
        <w:spacing w:after="0"/>
        <w:jc w:val="both"/>
        <w:rPr>
          <w:rFonts w:ascii="Aileron" w:hAnsi="Aileron"/>
          <w:sz w:val="24"/>
          <w:szCs w:val="24"/>
        </w:rPr>
      </w:pPr>
      <w:r>
        <w:rPr>
          <w:rFonts w:ascii="Aileron" w:hAnsi="Aileron"/>
          <w:sz w:val="24"/>
          <w:szCs w:val="24"/>
        </w:rPr>
        <w:t xml:space="preserve">We believe that land grant </w:t>
      </w:r>
      <w:r w:rsidR="00FF3D31">
        <w:rPr>
          <w:rFonts w:ascii="Aileron" w:hAnsi="Aileron"/>
          <w:sz w:val="24"/>
          <w:szCs w:val="24"/>
        </w:rPr>
        <w:t>universities</w:t>
      </w:r>
      <w:r>
        <w:rPr>
          <w:rFonts w:ascii="Aileron" w:hAnsi="Aileron"/>
          <w:sz w:val="24"/>
          <w:szCs w:val="24"/>
        </w:rPr>
        <w:t xml:space="preserve"> can play an important role in the future of American agrode</w:t>
      </w:r>
      <w:r w:rsidR="00750BF8">
        <w:rPr>
          <w:rFonts w:ascii="Aileron" w:hAnsi="Aileron"/>
          <w:sz w:val="24"/>
          <w:szCs w:val="24"/>
        </w:rPr>
        <w:t>fens</w:t>
      </w:r>
      <w:r>
        <w:rPr>
          <w:rFonts w:ascii="Aileron" w:hAnsi="Aileron"/>
          <w:sz w:val="24"/>
          <w:szCs w:val="24"/>
        </w:rPr>
        <w:t xml:space="preserve">e. </w:t>
      </w:r>
      <w:r w:rsidRPr="0043422E">
        <w:rPr>
          <w:rFonts w:ascii="Aileron" w:hAnsi="Aileron"/>
          <w:sz w:val="24"/>
          <w:szCs w:val="24"/>
        </w:rPr>
        <w:t>Land grants focus on translation of ideas into practice</w:t>
      </w:r>
      <w:r w:rsidR="00FF3D31">
        <w:rPr>
          <w:rFonts w:ascii="Aileron" w:hAnsi="Aileron"/>
          <w:sz w:val="24"/>
          <w:szCs w:val="24"/>
        </w:rPr>
        <w:t>,</w:t>
      </w:r>
      <w:r w:rsidRPr="0043422E">
        <w:rPr>
          <w:rFonts w:ascii="Aileron" w:hAnsi="Aileron"/>
          <w:sz w:val="24"/>
          <w:szCs w:val="24"/>
        </w:rPr>
        <w:t xml:space="preserve"> with one of the oldest US </w:t>
      </w:r>
      <w:r>
        <w:rPr>
          <w:rFonts w:ascii="Aileron" w:hAnsi="Aileron"/>
          <w:sz w:val="24"/>
          <w:szCs w:val="24"/>
        </w:rPr>
        <w:t>k</w:t>
      </w:r>
      <w:r w:rsidRPr="0043422E">
        <w:rPr>
          <w:rFonts w:ascii="Aileron" w:hAnsi="Aileron"/>
          <w:sz w:val="24"/>
          <w:szCs w:val="24"/>
        </w:rPr>
        <w:t>nowledge and tech transfer systems in the country. Many house a triple helix of academic, industry</w:t>
      </w:r>
      <w:r w:rsidR="00FF3D31">
        <w:rPr>
          <w:rFonts w:ascii="Aileron" w:hAnsi="Aileron"/>
          <w:sz w:val="24"/>
          <w:szCs w:val="24"/>
        </w:rPr>
        <w:t>,</w:t>
      </w:r>
      <w:r w:rsidRPr="0043422E">
        <w:rPr>
          <w:rFonts w:ascii="Aileron" w:hAnsi="Aileron"/>
          <w:sz w:val="24"/>
          <w:szCs w:val="24"/>
        </w:rPr>
        <w:t xml:space="preserve"> and government discoverers and innovators that collectively bring new solutions forward to enhance agility and resilience</w:t>
      </w:r>
      <w:r>
        <w:rPr>
          <w:rFonts w:ascii="Aileron" w:hAnsi="Aileron"/>
          <w:sz w:val="24"/>
          <w:szCs w:val="24"/>
        </w:rPr>
        <w:t xml:space="preserve">. </w:t>
      </w:r>
      <w:r w:rsidRPr="0043422E">
        <w:rPr>
          <w:rFonts w:ascii="Aileron" w:hAnsi="Aileron"/>
          <w:sz w:val="24"/>
          <w:szCs w:val="24"/>
        </w:rPr>
        <w:t xml:space="preserve">What has emerged from this ecosystem is a unique mix of stakeholders that are co-located on land grant </w:t>
      </w:r>
      <w:r w:rsidRPr="0043422E">
        <w:rPr>
          <w:rFonts w:ascii="Aileron" w:hAnsi="Aileron"/>
          <w:sz w:val="24"/>
          <w:szCs w:val="24"/>
        </w:rPr>
        <w:lastRenderedPageBreak/>
        <w:t xml:space="preserve">campuses and </w:t>
      </w:r>
      <w:r w:rsidR="00FF3D31">
        <w:rPr>
          <w:rFonts w:ascii="Aileron" w:hAnsi="Aileron"/>
          <w:sz w:val="24"/>
          <w:szCs w:val="24"/>
        </w:rPr>
        <w:t>unique and established</w:t>
      </w:r>
      <w:r w:rsidRPr="0043422E">
        <w:rPr>
          <w:rFonts w:ascii="Aileron" w:hAnsi="Aileron"/>
          <w:sz w:val="24"/>
          <w:szCs w:val="24"/>
        </w:rPr>
        <w:t xml:space="preserve"> collaborative networks</w:t>
      </w:r>
      <w:r w:rsidR="00FF3D31">
        <w:rPr>
          <w:rFonts w:ascii="Aileron" w:hAnsi="Aileron"/>
          <w:sz w:val="24"/>
          <w:szCs w:val="24"/>
        </w:rPr>
        <w:t xml:space="preserve"> that facilitate innovation and translation</w:t>
      </w:r>
      <w:r w:rsidRPr="0043422E">
        <w:rPr>
          <w:rFonts w:ascii="Aileron" w:hAnsi="Aileron"/>
          <w:sz w:val="24"/>
          <w:szCs w:val="24"/>
        </w:rPr>
        <w:t xml:space="preserve">.  </w:t>
      </w:r>
      <w:r w:rsidR="00F81EE6" w:rsidRPr="00F81EE6">
        <w:rPr>
          <w:rFonts w:ascii="Aileron" w:hAnsi="Aileron"/>
          <w:sz w:val="24"/>
          <w:szCs w:val="24"/>
        </w:rPr>
        <w:t>In addition to serving as ambassadors of knowledge, innovation</w:t>
      </w:r>
      <w:r w:rsidR="00FF3D31">
        <w:rPr>
          <w:rFonts w:ascii="Aileron" w:hAnsi="Aileron"/>
          <w:sz w:val="24"/>
          <w:szCs w:val="24"/>
        </w:rPr>
        <w:t>,</w:t>
      </w:r>
      <w:r w:rsidR="00F81EE6" w:rsidRPr="00F81EE6">
        <w:rPr>
          <w:rFonts w:ascii="Aileron" w:hAnsi="Aileron"/>
          <w:sz w:val="24"/>
          <w:szCs w:val="24"/>
        </w:rPr>
        <w:t xml:space="preserve"> and practice in our local and regional communities, our land grant ecosystem </w:t>
      </w:r>
      <w:r w:rsidR="00F81EE6">
        <w:rPr>
          <w:rFonts w:ascii="Aileron" w:hAnsi="Aileron"/>
          <w:sz w:val="24"/>
          <w:szCs w:val="24"/>
        </w:rPr>
        <w:t xml:space="preserve">also </w:t>
      </w:r>
      <w:r w:rsidR="00F81EE6" w:rsidRPr="00F81EE6">
        <w:rPr>
          <w:rFonts w:ascii="Aileron" w:hAnsi="Aileron"/>
          <w:sz w:val="24"/>
          <w:szCs w:val="24"/>
        </w:rPr>
        <w:t>serves as international ambassadors</w:t>
      </w:r>
      <w:r w:rsidR="00FF3D31">
        <w:rPr>
          <w:rFonts w:ascii="Aileron" w:hAnsi="Aileron"/>
          <w:sz w:val="24"/>
          <w:szCs w:val="24"/>
        </w:rPr>
        <w:t>, a role particularly critical in the global challenges of agrodefense</w:t>
      </w:r>
      <w:r w:rsidR="00F81EE6">
        <w:rPr>
          <w:rFonts w:ascii="Aileron" w:hAnsi="Aileron"/>
          <w:sz w:val="24"/>
          <w:szCs w:val="24"/>
        </w:rPr>
        <w:t>.</w:t>
      </w:r>
      <w:r w:rsidR="00F81EE6" w:rsidRPr="0043422E">
        <w:rPr>
          <w:rFonts w:ascii="Aileron" w:hAnsi="Aileron"/>
          <w:sz w:val="24"/>
          <w:szCs w:val="24"/>
        </w:rPr>
        <w:t xml:space="preserve"> </w:t>
      </w:r>
      <w:r w:rsidR="00F81EE6">
        <w:rPr>
          <w:rFonts w:ascii="Aileron" w:hAnsi="Aileron"/>
          <w:sz w:val="24"/>
          <w:szCs w:val="24"/>
        </w:rPr>
        <w:t>Land grant institutions</w:t>
      </w:r>
      <w:r w:rsidRPr="0043422E">
        <w:rPr>
          <w:rFonts w:ascii="Aileron" w:hAnsi="Aileron"/>
          <w:sz w:val="24"/>
          <w:szCs w:val="24"/>
        </w:rPr>
        <w:t xml:space="preserve"> present a unique opportunity to create </w:t>
      </w:r>
      <w:r w:rsidR="008B6605">
        <w:rPr>
          <w:rFonts w:ascii="Aileron" w:hAnsi="Aileron"/>
          <w:sz w:val="24"/>
          <w:szCs w:val="24"/>
        </w:rPr>
        <w:t xml:space="preserve">cross-sector </w:t>
      </w:r>
      <w:r w:rsidRPr="0043422E">
        <w:rPr>
          <w:rFonts w:ascii="Aileron" w:hAnsi="Aileron"/>
          <w:sz w:val="24"/>
          <w:szCs w:val="24"/>
        </w:rPr>
        <w:t xml:space="preserve">partnerships in impactful areas to collectively solve problems that are important to the region and can scale to </w:t>
      </w:r>
      <w:r>
        <w:rPr>
          <w:rFonts w:ascii="Aileron" w:hAnsi="Aileron"/>
          <w:sz w:val="24"/>
          <w:szCs w:val="24"/>
        </w:rPr>
        <w:t xml:space="preserve">national and global </w:t>
      </w:r>
      <w:r w:rsidRPr="0043422E">
        <w:rPr>
          <w:rFonts w:ascii="Aileron" w:hAnsi="Aileron"/>
          <w:sz w:val="24"/>
          <w:szCs w:val="24"/>
        </w:rPr>
        <w:t xml:space="preserve">impact.  </w:t>
      </w:r>
    </w:p>
    <w:p w14:paraId="194E2339" w14:textId="65AA0AAF" w:rsidR="000F438D" w:rsidRDefault="000F438D" w:rsidP="00446D86">
      <w:pPr>
        <w:spacing w:after="0"/>
        <w:jc w:val="both"/>
        <w:rPr>
          <w:rFonts w:ascii="Aileron" w:hAnsi="Aileron"/>
          <w:sz w:val="24"/>
          <w:szCs w:val="24"/>
        </w:rPr>
      </w:pPr>
    </w:p>
    <w:p w14:paraId="75DFB1A3" w14:textId="7A763317" w:rsidR="008F5902" w:rsidRDefault="000F438D" w:rsidP="00446D86">
      <w:pPr>
        <w:spacing w:after="0"/>
        <w:jc w:val="both"/>
        <w:rPr>
          <w:rFonts w:ascii="Aileron" w:hAnsi="Aileron"/>
          <w:sz w:val="24"/>
          <w:szCs w:val="24"/>
        </w:rPr>
      </w:pPr>
      <w:r w:rsidRPr="000F438D">
        <w:rPr>
          <w:rFonts w:ascii="Aileron" w:hAnsi="Aileron"/>
          <w:sz w:val="24"/>
          <w:szCs w:val="24"/>
        </w:rPr>
        <w:t>A little over one year ago, we established a new coalition, called the Coalition for Epi Response Engagement and Science</w:t>
      </w:r>
      <w:r w:rsidR="008F5902">
        <w:rPr>
          <w:rFonts w:ascii="Aileron" w:hAnsi="Aileron"/>
          <w:sz w:val="24"/>
          <w:szCs w:val="24"/>
        </w:rPr>
        <w:t>,</w:t>
      </w:r>
      <w:r w:rsidRPr="000F438D">
        <w:rPr>
          <w:rFonts w:ascii="Aileron" w:hAnsi="Aileron"/>
          <w:sz w:val="24"/>
          <w:szCs w:val="24"/>
        </w:rPr>
        <w:t xml:space="preserve"> or CERES.  The founding members of this coalition are 6 land grant institutions, </w:t>
      </w:r>
      <w:r w:rsidR="008F5902">
        <w:rPr>
          <w:rFonts w:ascii="Aileron" w:hAnsi="Aileron"/>
          <w:sz w:val="24"/>
          <w:szCs w:val="24"/>
        </w:rPr>
        <w:t>Kansas State University (</w:t>
      </w:r>
      <w:r w:rsidRPr="000F438D">
        <w:rPr>
          <w:rFonts w:ascii="Aileron" w:hAnsi="Aileron"/>
          <w:sz w:val="24"/>
          <w:szCs w:val="24"/>
        </w:rPr>
        <w:t>KSU</w:t>
      </w:r>
      <w:r w:rsidR="008F5902">
        <w:rPr>
          <w:rFonts w:ascii="Aileron" w:hAnsi="Aileron"/>
          <w:sz w:val="24"/>
          <w:szCs w:val="24"/>
        </w:rPr>
        <w:t>)</w:t>
      </w:r>
      <w:r w:rsidRPr="000F438D">
        <w:rPr>
          <w:rFonts w:ascii="Aileron" w:hAnsi="Aileron"/>
          <w:sz w:val="24"/>
          <w:szCs w:val="24"/>
        </w:rPr>
        <w:t xml:space="preserve">, </w:t>
      </w:r>
      <w:r w:rsidR="008F5902">
        <w:rPr>
          <w:rFonts w:ascii="Aileron" w:hAnsi="Aileron"/>
          <w:sz w:val="24"/>
          <w:szCs w:val="24"/>
        </w:rPr>
        <w:t>Iowa State university (</w:t>
      </w:r>
      <w:r w:rsidRPr="000F438D">
        <w:rPr>
          <w:rFonts w:ascii="Aileron" w:hAnsi="Aileron"/>
          <w:sz w:val="24"/>
          <w:szCs w:val="24"/>
        </w:rPr>
        <w:t>ISU</w:t>
      </w:r>
      <w:r w:rsidR="008F5902">
        <w:rPr>
          <w:rFonts w:ascii="Aileron" w:hAnsi="Aileron"/>
          <w:sz w:val="24"/>
          <w:szCs w:val="24"/>
        </w:rPr>
        <w:t>)</w:t>
      </w:r>
      <w:r w:rsidRPr="000F438D">
        <w:rPr>
          <w:rFonts w:ascii="Aileron" w:hAnsi="Aileron"/>
          <w:sz w:val="24"/>
          <w:szCs w:val="24"/>
        </w:rPr>
        <w:t xml:space="preserve">, </w:t>
      </w:r>
      <w:r w:rsidR="008F5902">
        <w:rPr>
          <w:rFonts w:ascii="Aileron" w:hAnsi="Aileron"/>
          <w:sz w:val="24"/>
          <w:szCs w:val="24"/>
        </w:rPr>
        <w:t>University of Nebraska at Lincoln (</w:t>
      </w:r>
      <w:r w:rsidRPr="000F438D">
        <w:rPr>
          <w:rFonts w:ascii="Aileron" w:hAnsi="Aileron"/>
          <w:sz w:val="24"/>
          <w:szCs w:val="24"/>
        </w:rPr>
        <w:t>UNL</w:t>
      </w:r>
      <w:r w:rsidR="008F5902">
        <w:rPr>
          <w:rFonts w:ascii="Aileron" w:hAnsi="Aileron"/>
          <w:sz w:val="24"/>
          <w:szCs w:val="24"/>
        </w:rPr>
        <w:t>)</w:t>
      </w:r>
      <w:r w:rsidRPr="000F438D">
        <w:rPr>
          <w:rFonts w:ascii="Aileron" w:hAnsi="Aileron"/>
          <w:sz w:val="24"/>
          <w:szCs w:val="24"/>
        </w:rPr>
        <w:t xml:space="preserve">, </w:t>
      </w:r>
      <w:r w:rsidR="008F5902">
        <w:rPr>
          <w:rFonts w:ascii="Aileron" w:hAnsi="Aileron"/>
          <w:sz w:val="24"/>
          <w:szCs w:val="24"/>
        </w:rPr>
        <w:t>Texas A&amp;M University (</w:t>
      </w:r>
      <w:r w:rsidRPr="000F438D">
        <w:rPr>
          <w:rFonts w:ascii="Aileron" w:hAnsi="Aileron"/>
          <w:sz w:val="24"/>
          <w:szCs w:val="24"/>
        </w:rPr>
        <w:t>Texas A&amp;M</w:t>
      </w:r>
      <w:r w:rsidR="008F5902">
        <w:rPr>
          <w:rFonts w:ascii="Aileron" w:hAnsi="Aileron"/>
          <w:sz w:val="24"/>
          <w:szCs w:val="24"/>
        </w:rPr>
        <w:t>)</w:t>
      </w:r>
      <w:r w:rsidRPr="000F438D">
        <w:rPr>
          <w:rFonts w:ascii="Aileron" w:hAnsi="Aileron"/>
          <w:sz w:val="24"/>
          <w:szCs w:val="24"/>
        </w:rPr>
        <w:t xml:space="preserve">, </w:t>
      </w:r>
      <w:r w:rsidR="008F5902">
        <w:rPr>
          <w:rFonts w:ascii="Aileron" w:hAnsi="Aileron"/>
          <w:sz w:val="24"/>
          <w:szCs w:val="24"/>
        </w:rPr>
        <w:t>university of California, Davis (</w:t>
      </w:r>
      <w:r w:rsidRPr="000F438D">
        <w:rPr>
          <w:rFonts w:ascii="Aileron" w:hAnsi="Aileron"/>
          <w:sz w:val="24"/>
          <w:szCs w:val="24"/>
        </w:rPr>
        <w:t>UC Davis</w:t>
      </w:r>
      <w:r w:rsidR="008F5902">
        <w:rPr>
          <w:rFonts w:ascii="Aileron" w:hAnsi="Aileron"/>
          <w:sz w:val="24"/>
          <w:szCs w:val="24"/>
        </w:rPr>
        <w:t>),</w:t>
      </w:r>
      <w:r w:rsidRPr="000F438D">
        <w:rPr>
          <w:rFonts w:ascii="Aileron" w:hAnsi="Aileron"/>
          <w:sz w:val="24"/>
          <w:szCs w:val="24"/>
        </w:rPr>
        <w:t xml:space="preserve"> and </w:t>
      </w:r>
      <w:r w:rsidR="008F5902">
        <w:rPr>
          <w:rFonts w:ascii="Aileron" w:hAnsi="Aileron"/>
          <w:sz w:val="24"/>
          <w:szCs w:val="24"/>
        </w:rPr>
        <w:t>Colorado State University (</w:t>
      </w:r>
      <w:r w:rsidRPr="000F438D">
        <w:rPr>
          <w:rFonts w:ascii="Aileron" w:hAnsi="Aileron"/>
          <w:sz w:val="24"/>
          <w:szCs w:val="24"/>
        </w:rPr>
        <w:t>CSU</w:t>
      </w:r>
      <w:r w:rsidR="008F5902">
        <w:rPr>
          <w:rFonts w:ascii="Aileron" w:hAnsi="Aileron"/>
          <w:sz w:val="24"/>
          <w:szCs w:val="24"/>
        </w:rPr>
        <w:t xml:space="preserve">). </w:t>
      </w:r>
      <w:r w:rsidR="008F5902" w:rsidRPr="008F5902">
        <w:rPr>
          <w:rFonts w:ascii="Aileron" w:hAnsi="Aileron"/>
          <w:sz w:val="24"/>
          <w:szCs w:val="24"/>
        </w:rPr>
        <w:t xml:space="preserve">These founding members were selected as land grant institutions that have been invested in for their R&amp;D </w:t>
      </w:r>
      <w:r w:rsidR="00FF3D31">
        <w:rPr>
          <w:rFonts w:ascii="Aileron" w:hAnsi="Aileron"/>
          <w:sz w:val="24"/>
          <w:szCs w:val="24"/>
        </w:rPr>
        <w:t xml:space="preserve">programs </w:t>
      </w:r>
      <w:r w:rsidR="008F5902" w:rsidRPr="008F5902">
        <w:rPr>
          <w:rFonts w:ascii="Aileron" w:hAnsi="Aileron"/>
          <w:sz w:val="24"/>
          <w:szCs w:val="24"/>
        </w:rPr>
        <w:t xml:space="preserve">in biodefense and to specifically </w:t>
      </w:r>
      <w:r w:rsidR="00FF3D31">
        <w:rPr>
          <w:rFonts w:ascii="Aileron" w:hAnsi="Aileron"/>
          <w:sz w:val="24"/>
          <w:szCs w:val="24"/>
        </w:rPr>
        <w:t>capitalize on</w:t>
      </w:r>
      <w:r w:rsidR="008F5902" w:rsidRPr="008F5902">
        <w:rPr>
          <w:rFonts w:ascii="Aileron" w:hAnsi="Aileron"/>
          <w:sz w:val="24"/>
          <w:szCs w:val="24"/>
        </w:rPr>
        <w:t xml:space="preserve"> the strengths land grants have in providing a unique ecosystem of innovation that is directly linked through engagement activities to our region, with state and local officials , to our regional commodity producers and directly to the ranchers and farmers and communities in our states.</w:t>
      </w:r>
      <w:r w:rsidR="008F5902">
        <w:rPr>
          <w:rFonts w:ascii="Aileron" w:hAnsi="Aileron"/>
          <w:sz w:val="24"/>
          <w:szCs w:val="24"/>
        </w:rPr>
        <w:t xml:space="preserve"> </w:t>
      </w:r>
      <w:r w:rsidR="008F5902" w:rsidRPr="008F5902">
        <w:rPr>
          <w:rFonts w:ascii="Aileron" w:hAnsi="Aileron"/>
          <w:sz w:val="24"/>
          <w:szCs w:val="24"/>
        </w:rPr>
        <w:t>We have identified three pillars of activity in the coalition</w:t>
      </w:r>
      <w:r w:rsidR="00FF3D31">
        <w:rPr>
          <w:rFonts w:ascii="Aileron" w:hAnsi="Aileron"/>
          <w:sz w:val="24"/>
          <w:szCs w:val="24"/>
        </w:rPr>
        <w:t>:</w:t>
      </w:r>
      <w:r w:rsidR="008F5902" w:rsidRPr="008F5902">
        <w:rPr>
          <w:rFonts w:ascii="Aileron" w:hAnsi="Aileron"/>
          <w:sz w:val="24"/>
          <w:szCs w:val="24"/>
        </w:rPr>
        <w:t xml:space="preserve"> agile countermeasure development and manufacturing, surveillance and rapid diagnostics, and engagement.   New efforts are being funded in the coalition in each of these areas both through competitive federal opportunities as well as internal seeding by the </w:t>
      </w:r>
      <w:r w:rsidR="008F5902">
        <w:rPr>
          <w:rFonts w:ascii="Aileron" w:hAnsi="Aileron"/>
          <w:sz w:val="24"/>
          <w:szCs w:val="24"/>
        </w:rPr>
        <w:t>six</w:t>
      </w:r>
      <w:r w:rsidR="008F5902" w:rsidRPr="008F5902">
        <w:rPr>
          <w:rFonts w:ascii="Aileron" w:hAnsi="Aileron"/>
          <w:sz w:val="24"/>
          <w:szCs w:val="24"/>
        </w:rPr>
        <w:t xml:space="preserve"> institutions.</w:t>
      </w:r>
    </w:p>
    <w:p w14:paraId="4FE8FBB1" w14:textId="380CA4CB" w:rsidR="00194B73" w:rsidRDefault="00194B73" w:rsidP="00446D86">
      <w:pPr>
        <w:spacing w:after="0"/>
        <w:jc w:val="both"/>
        <w:rPr>
          <w:rFonts w:ascii="Aileron" w:hAnsi="Aileron"/>
          <w:sz w:val="24"/>
          <w:szCs w:val="24"/>
        </w:rPr>
      </w:pPr>
    </w:p>
    <w:p w14:paraId="4768D8A1" w14:textId="12941443" w:rsidR="000F438D" w:rsidRDefault="00194B73" w:rsidP="00454F08">
      <w:pPr>
        <w:spacing w:after="0"/>
        <w:jc w:val="both"/>
        <w:rPr>
          <w:rFonts w:ascii="Aileron" w:hAnsi="Aileron"/>
          <w:sz w:val="24"/>
          <w:szCs w:val="24"/>
        </w:rPr>
      </w:pPr>
      <w:r>
        <w:rPr>
          <w:rFonts w:ascii="Aileron" w:hAnsi="Aileron"/>
          <w:sz w:val="24"/>
          <w:szCs w:val="24"/>
        </w:rPr>
        <w:t xml:space="preserve">Continued investment and </w:t>
      </w:r>
      <w:r w:rsidR="00B979C3">
        <w:rPr>
          <w:rFonts w:ascii="Aileron" w:hAnsi="Aileron"/>
          <w:sz w:val="24"/>
          <w:szCs w:val="24"/>
        </w:rPr>
        <w:t>support for the land grant institution</w:t>
      </w:r>
      <w:r w:rsidR="00446D86">
        <w:rPr>
          <w:rFonts w:ascii="Aileron" w:hAnsi="Aileron"/>
          <w:sz w:val="24"/>
          <w:szCs w:val="24"/>
        </w:rPr>
        <w:t xml:space="preserve">s </w:t>
      </w:r>
      <w:r w:rsidR="00B979C3">
        <w:rPr>
          <w:rFonts w:ascii="Aileron" w:hAnsi="Aileron"/>
          <w:sz w:val="24"/>
          <w:szCs w:val="24"/>
        </w:rPr>
        <w:t xml:space="preserve">is critical for the nation’s agricultural biosecurity. </w:t>
      </w:r>
      <w:r w:rsidR="00446D86">
        <w:rPr>
          <w:rFonts w:ascii="Aileron" w:hAnsi="Aileron"/>
          <w:sz w:val="24"/>
          <w:szCs w:val="24"/>
        </w:rPr>
        <w:t>The capabilities, expertise, and partnerships found within the land grant ecosystem provide responsive and agile research and development</w:t>
      </w:r>
      <w:r w:rsidR="00446D86" w:rsidRPr="00446D86">
        <w:rPr>
          <w:rFonts w:ascii="Aileron" w:hAnsi="Aileron"/>
          <w:sz w:val="24"/>
          <w:szCs w:val="24"/>
        </w:rPr>
        <w:t xml:space="preserve"> </w:t>
      </w:r>
      <w:r w:rsidR="00446D86">
        <w:rPr>
          <w:rFonts w:ascii="Aileron" w:hAnsi="Aileron"/>
          <w:sz w:val="24"/>
          <w:szCs w:val="24"/>
        </w:rPr>
        <w:t>of agrodefense countermeasures, as well as an avenue for communication between all stakeholders in the agricultural sector.</w:t>
      </w:r>
    </w:p>
    <w:p w14:paraId="38EEACA9" w14:textId="77777777" w:rsidR="00A92463" w:rsidRDefault="00A92463" w:rsidP="00454F08">
      <w:pPr>
        <w:spacing w:after="0"/>
        <w:jc w:val="both"/>
        <w:rPr>
          <w:rFonts w:ascii="Aileron" w:hAnsi="Aileron"/>
          <w:sz w:val="24"/>
          <w:szCs w:val="24"/>
        </w:rPr>
      </w:pPr>
    </w:p>
    <w:p w14:paraId="55DA0CD4" w14:textId="224B2C49" w:rsidR="00B954D4" w:rsidRPr="00214012" w:rsidRDefault="00B954D4" w:rsidP="00454F08">
      <w:pPr>
        <w:spacing w:after="0"/>
        <w:jc w:val="both"/>
        <w:rPr>
          <w:rFonts w:ascii="Aileron" w:hAnsi="Aileron"/>
          <w:sz w:val="24"/>
          <w:szCs w:val="24"/>
        </w:rPr>
      </w:pPr>
      <w:r>
        <w:rPr>
          <w:rFonts w:ascii="Aileron" w:hAnsi="Aileron"/>
          <w:sz w:val="24"/>
          <w:szCs w:val="24"/>
        </w:rPr>
        <w:t xml:space="preserve">We thank the Commission for their dedication and service to our country, and </w:t>
      </w:r>
      <w:r w:rsidR="00F66413">
        <w:rPr>
          <w:rFonts w:ascii="Aileron" w:hAnsi="Aileron"/>
          <w:sz w:val="24"/>
          <w:szCs w:val="24"/>
        </w:rPr>
        <w:t xml:space="preserve">their work on assessment and advocacy regarding U.S. biodefense. </w:t>
      </w:r>
    </w:p>
    <w:sectPr w:rsidR="00B954D4" w:rsidRPr="00214012" w:rsidSect="00D30369">
      <w:pgSz w:w="12240" w:h="15840"/>
      <w:pgMar w:top="1440" w:right="1440" w:bottom="1440" w:left="1440" w:header="720" w:footer="720" w:gutter="0"/>
      <w:pgBorders w:offsetFrom="page">
        <w:left w:val="single" w:sz="18" w:space="24" w:color="0A2342" w:themeColor="text1"/>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ileron Heavy">
    <w:altName w:val="Calibri"/>
    <w:panose1 w:val="00000A00000000000000"/>
    <w:charset w:val="00"/>
    <w:family w:val="modern"/>
    <w:notTrueType/>
    <w:pitch w:val="variable"/>
    <w:sig w:usb0="00000007" w:usb1="00000000" w:usb2="00000000" w:usb3="00000000" w:csb0="00000093" w:csb1="00000000"/>
  </w:font>
  <w:font w:name="Aileron">
    <w:altName w:val="Calibri"/>
    <w:panose1 w:val="00000500000000000000"/>
    <w:charset w:val="00"/>
    <w:family w:val="modern"/>
    <w:notTrueType/>
    <w:pitch w:val="variable"/>
    <w:sig w:usb0="00000007" w:usb1="00000000" w:usb2="00000000" w:usb3="00000000" w:csb0="00000093" w:csb1="00000000"/>
  </w:font>
  <w:font w:name="Aileron Bold">
    <w:altName w:val="Calibri"/>
    <w:panose1 w:val="00000800000000000000"/>
    <w:charset w:val="00"/>
    <w:family w:val="modern"/>
    <w:notTrueType/>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63538"/>
    <w:multiLevelType w:val="hybridMultilevel"/>
    <w:tmpl w:val="667AD3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E66A0F"/>
    <w:multiLevelType w:val="hybridMultilevel"/>
    <w:tmpl w:val="030AE39A"/>
    <w:lvl w:ilvl="0" w:tplc="32A415C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A120E4"/>
    <w:multiLevelType w:val="multilevel"/>
    <w:tmpl w:val="29E6A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4B96413"/>
    <w:multiLevelType w:val="hybridMultilevel"/>
    <w:tmpl w:val="475E57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CB51782"/>
    <w:multiLevelType w:val="hybridMultilevel"/>
    <w:tmpl w:val="9DCE7224"/>
    <w:lvl w:ilvl="0" w:tplc="BD7E388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F59"/>
    <w:rsid w:val="000462B4"/>
    <w:rsid w:val="000474C6"/>
    <w:rsid w:val="00063394"/>
    <w:rsid w:val="000E65A1"/>
    <w:rsid w:val="000E7E28"/>
    <w:rsid w:val="000F438D"/>
    <w:rsid w:val="00194B73"/>
    <w:rsid w:val="00212C61"/>
    <w:rsid w:val="00214012"/>
    <w:rsid w:val="00224301"/>
    <w:rsid w:val="002358A5"/>
    <w:rsid w:val="00247E63"/>
    <w:rsid w:val="002603C9"/>
    <w:rsid w:val="002A5D10"/>
    <w:rsid w:val="002E734B"/>
    <w:rsid w:val="002F2A69"/>
    <w:rsid w:val="00316C4D"/>
    <w:rsid w:val="00340B93"/>
    <w:rsid w:val="00384174"/>
    <w:rsid w:val="003A2EDC"/>
    <w:rsid w:val="003A7C0F"/>
    <w:rsid w:val="003C2094"/>
    <w:rsid w:val="003D02DE"/>
    <w:rsid w:val="003E1EE8"/>
    <w:rsid w:val="003E53C2"/>
    <w:rsid w:val="0043422E"/>
    <w:rsid w:val="00440277"/>
    <w:rsid w:val="00446D86"/>
    <w:rsid w:val="00454F08"/>
    <w:rsid w:val="00466ADA"/>
    <w:rsid w:val="0047111C"/>
    <w:rsid w:val="004A4F1C"/>
    <w:rsid w:val="00532E5E"/>
    <w:rsid w:val="00540A4D"/>
    <w:rsid w:val="005B2A72"/>
    <w:rsid w:val="006067AE"/>
    <w:rsid w:val="00644636"/>
    <w:rsid w:val="006810F1"/>
    <w:rsid w:val="00750BF8"/>
    <w:rsid w:val="0079265D"/>
    <w:rsid w:val="00825719"/>
    <w:rsid w:val="0084611B"/>
    <w:rsid w:val="00886DE3"/>
    <w:rsid w:val="00895FA0"/>
    <w:rsid w:val="008B6605"/>
    <w:rsid w:val="008E17D8"/>
    <w:rsid w:val="008F5902"/>
    <w:rsid w:val="0090576A"/>
    <w:rsid w:val="009D2177"/>
    <w:rsid w:val="009E7A64"/>
    <w:rsid w:val="00A268B1"/>
    <w:rsid w:val="00A437E1"/>
    <w:rsid w:val="00A63262"/>
    <w:rsid w:val="00A73555"/>
    <w:rsid w:val="00A7395D"/>
    <w:rsid w:val="00A92463"/>
    <w:rsid w:val="00A94569"/>
    <w:rsid w:val="00AE2E03"/>
    <w:rsid w:val="00AE5EAC"/>
    <w:rsid w:val="00B12F78"/>
    <w:rsid w:val="00B67BBC"/>
    <w:rsid w:val="00B74DFE"/>
    <w:rsid w:val="00B814F7"/>
    <w:rsid w:val="00B954D4"/>
    <w:rsid w:val="00B979C3"/>
    <w:rsid w:val="00BB1816"/>
    <w:rsid w:val="00BC0D9C"/>
    <w:rsid w:val="00C461AA"/>
    <w:rsid w:val="00C635F7"/>
    <w:rsid w:val="00CE59F4"/>
    <w:rsid w:val="00D24679"/>
    <w:rsid w:val="00D256AA"/>
    <w:rsid w:val="00D30369"/>
    <w:rsid w:val="00D343F3"/>
    <w:rsid w:val="00D40CC6"/>
    <w:rsid w:val="00D718CB"/>
    <w:rsid w:val="00D83758"/>
    <w:rsid w:val="00DB1B55"/>
    <w:rsid w:val="00DD5E52"/>
    <w:rsid w:val="00E262A6"/>
    <w:rsid w:val="00E35272"/>
    <w:rsid w:val="00E600C7"/>
    <w:rsid w:val="00E77F4F"/>
    <w:rsid w:val="00E913BC"/>
    <w:rsid w:val="00F062FB"/>
    <w:rsid w:val="00F66413"/>
    <w:rsid w:val="00F81EE6"/>
    <w:rsid w:val="00FA12F6"/>
    <w:rsid w:val="00FB5F59"/>
    <w:rsid w:val="00FD1BB3"/>
    <w:rsid w:val="00FF3D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121BF"/>
  <w15:chartTrackingRefBased/>
  <w15:docId w15:val="{59B6C0FB-A3FC-4923-9467-DE5A9BF53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810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40CC6"/>
    <w:rPr>
      <w:sz w:val="16"/>
      <w:szCs w:val="16"/>
    </w:rPr>
  </w:style>
  <w:style w:type="paragraph" w:styleId="CommentText">
    <w:name w:val="annotation text"/>
    <w:basedOn w:val="Normal"/>
    <w:link w:val="CommentTextChar"/>
    <w:uiPriority w:val="99"/>
    <w:semiHidden/>
    <w:unhideWhenUsed/>
    <w:rsid w:val="00D40CC6"/>
    <w:pPr>
      <w:spacing w:line="240" w:lineRule="auto"/>
    </w:pPr>
    <w:rPr>
      <w:sz w:val="20"/>
      <w:szCs w:val="20"/>
    </w:rPr>
  </w:style>
  <w:style w:type="character" w:customStyle="1" w:styleId="CommentTextChar">
    <w:name w:val="Comment Text Char"/>
    <w:basedOn w:val="DefaultParagraphFont"/>
    <w:link w:val="CommentText"/>
    <w:uiPriority w:val="99"/>
    <w:semiHidden/>
    <w:rsid w:val="00D40CC6"/>
    <w:rPr>
      <w:sz w:val="20"/>
      <w:szCs w:val="20"/>
    </w:rPr>
  </w:style>
  <w:style w:type="paragraph" w:styleId="CommentSubject">
    <w:name w:val="annotation subject"/>
    <w:basedOn w:val="CommentText"/>
    <w:next w:val="CommentText"/>
    <w:link w:val="CommentSubjectChar"/>
    <w:uiPriority w:val="99"/>
    <w:semiHidden/>
    <w:unhideWhenUsed/>
    <w:rsid w:val="00D40CC6"/>
    <w:rPr>
      <w:b/>
      <w:bCs/>
    </w:rPr>
  </w:style>
  <w:style w:type="character" w:customStyle="1" w:styleId="CommentSubjectChar">
    <w:name w:val="Comment Subject Char"/>
    <w:basedOn w:val="CommentTextChar"/>
    <w:link w:val="CommentSubject"/>
    <w:uiPriority w:val="99"/>
    <w:semiHidden/>
    <w:rsid w:val="00D40CC6"/>
    <w:rPr>
      <w:b/>
      <w:bCs/>
      <w:sz w:val="20"/>
      <w:szCs w:val="20"/>
    </w:rPr>
  </w:style>
  <w:style w:type="paragraph" w:styleId="BalloonText">
    <w:name w:val="Balloon Text"/>
    <w:basedOn w:val="Normal"/>
    <w:link w:val="BalloonTextChar"/>
    <w:uiPriority w:val="99"/>
    <w:semiHidden/>
    <w:unhideWhenUsed/>
    <w:rsid w:val="00D40C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0CC6"/>
    <w:rPr>
      <w:rFonts w:ascii="Segoe UI" w:hAnsi="Segoe UI" w:cs="Segoe UI"/>
      <w:sz w:val="18"/>
      <w:szCs w:val="18"/>
    </w:rPr>
  </w:style>
  <w:style w:type="table" w:styleId="TableGrid">
    <w:name w:val="Table Grid"/>
    <w:basedOn w:val="TableNormal"/>
    <w:uiPriority w:val="39"/>
    <w:rsid w:val="002243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
    <w:name w:val="Grid Table 4"/>
    <w:basedOn w:val="TableNormal"/>
    <w:uiPriority w:val="49"/>
    <w:rsid w:val="00224301"/>
    <w:pPr>
      <w:spacing w:after="0" w:line="240" w:lineRule="auto"/>
    </w:pPr>
    <w:tblPr>
      <w:tblStyleRowBandSize w:val="1"/>
      <w:tblStyleColBandSize w:val="1"/>
      <w:tblBorders>
        <w:top w:val="single" w:sz="4" w:space="0" w:color="2172D8" w:themeColor="text1" w:themeTint="99"/>
        <w:left w:val="single" w:sz="4" w:space="0" w:color="2172D8" w:themeColor="text1" w:themeTint="99"/>
        <w:bottom w:val="single" w:sz="4" w:space="0" w:color="2172D8" w:themeColor="text1" w:themeTint="99"/>
        <w:right w:val="single" w:sz="4" w:space="0" w:color="2172D8" w:themeColor="text1" w:themeTint="99"/>
        <w:insideH w:val="single" w:sz="4" w:space="0" w:color="2172D8" w:themeColor="text1" w:themeTint="99"/>
        <w:insideV w:val="single" w:sz="4" w:space="0" w:color="2172D8" w:themeColor="text1" w:themeTint="99"/>
      </w:tblBorders>
    </w:tblPr>
    <w:tblStylePr w:type="firstRow">
      <w:rPr>
        <w:b/>
        <w:bCs/>
        <w:color w:val="FFFFFF" w:themeColor="background1"/>
      </w:rPr>
      <w:tblPr/>
      <w:tcPr>
        <w:tcBorders>
          <w:top w:val="single" w:sz="4" w:space="0" w:color="0A2342" w:themeColor="text1"/>
          <w:left w:val="single" w:sz="4" w:space="0" w:color="0A2342" w:themeColor="text1"/>
          <w:bottom w:val="single" w:sz="4" w:space="0" w:color="0A2342" w:themeColor="text1"/>
          <w:right w:val="single" w:sz="4" w:space="0" w:color="0A2342" w:themeColor="text1"/>
          <w:insideH w:val="nil"/>
          <w:insideV w:val="nil"/>
        </w:tcBorders>
        <w:shd w:val="clear" w:color="auto" w:fill="0A2342" w:themeFill="text1"/>
      </w:tcPr>
    </w:tblStylePr>
    <w:tblStylePr w:type="lastRow">
      <w:rPr>
        <w:b/>
        <w:bCs/>
      </w:rPr>
      <w:tblPr/>
      <w:tcPr>
        <w:tcBorders>
          <w:top w:val="double" w:sz="4" w:space="0" w:color="0A2342" w:themeColor="text1"/>
        </w:tcBorders>
      </w:tcPr>
    </w:tblStylePr>
    <w:tblStylePr w:type="firstCol">
      <w:rPr>
        <w:b/>
        <w:bCs/>
      </w:rPr>
    </w:tblStylePr>
    <w:tblStylePr w:type="lastCol">
      <w:rPr>
        <w:b/>
        <w:bCs/>
      </w:rPr>
    </w:tblStylePr>
    <w:tblStylePr w:type="band1Vert">
      <w:tblPr/>
      <w:tcPr>
        <w:shd w:val="clear" w:color="auto" w:fill="B3CFF3" w:themeFill="text1" w:themeFillTint="33"/>
      </w:tcPr>
    </w:tblStylePr>
    <w:tblStylePr w:type="band1Horz">
      <w:tblPr/>
      <w:tcPr>
        <w:shd w:val="clear" w:color="auto" w:fill="B3CFF3" w:themeFill="text1" w:themeFillTint="33"/>
      </w:tcPr>
    </w:tblStylePr>
  </w:style>
  <w:style w:type="table" w:styleId="PlainTable4">
    <w:name w:val="Plain Table 4"/>
    <w:basedOn w:val="TableNormal"/>
    <w:uiPriority w:val="44"/>
    <w:rsid w:val="002F2A6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D256AA"/>
    <w:pPr>
      <w:ind w:left="720"/>
      <w:contextualSpacing/>
    </w:pPr>
  </w:style>
  <w:style w:type="character" w:styleId="Hyperlink">
    <w:name w:val="Hyperlink"/>
    <w:basedOn w:val="DefaultParagraphFont"/>
    <w:uiPriority w:val="99"/>
    <w:unhideWhenUsed/>
    <w:rsid w:val="00E913B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2167444">
      <w:bodyDiv w:val="1"/>
      <w:marLeft w:val="0"/>
      <w:marRight w:val="0"/>
      <w:marTop w:val="0"/>
      <w:marBottom w:val="0"/>
      <w:divBdr>
        <w:top w:val="none" w:sz="0" w:space="0" w:color="auto"/>
        <w:left w:val="none" w:sz="0" w:space="0" w:color="auto"/>
        <w:bottom w:val="none" w:sz="0" w:space="0" w:color="auto"/>
        <w:right w:val="none" w:sz="0" w:space="0" w:color="auto"/>
      </w:divBdr>
    </w:div>
    <w:div w:id="818694778">
      <w:bodyDiv w:val="1"/>
      <w:marLeft w:val="0"/>
      <w:marRight w:val="0"/>
      <w:marTop w:val="0"/>
      <w:marBottom w:val="0"/>
      <w:divBdr>
        <w:top w:val="none" w:sz="0" w:space="0" w:color="auto"/>
        <w:left w:val="none" w:sz="0" w:space="0" w:color="auto"/>
        <w:bottom w:val="none" w:sz="0" w:space="0" w:color="auto"/>
        <w:right w:val="none" w:sz="0" w:space="0" w:color="auto"/>
      </w:divBdr>
    </w:div>
    <w:div w:id="896089453">
      <w:bodyDiv w:val="1"/>
      <w:marLeft w:val="0"/>
      <w:marRight w:val="0"/>
      <w:marTop w:val="0"/>
      <w:marBottom w:val="0"/>
      <w:divBdr>
        <w:top w:val="none" w:sz="0" w:space="0" w:color="auto"/>
        <w:left w:val="none" w:sz="0" w:space="0" w:color="auto"/>
        <w:bottom w:val="none" w:sz="0" w:space="0" w:color="auto"/>
        <w:right w:val="none" w:sz="0" w:space="0" w:color="auto"/>
      </w:divBdr>
    </w:div>
    <w:div w:id="907813248">
      <w:bodyDiv w:val="1"/>
      <w:marLeft w:val="0"/>
      <w:marRight w:val="0"/>
      <w:marTop w:val="0"/>
      <w:marBottom w:val="0"/>
      <w:divBdr>
        <w:top w:val="none" w:sz="0" w:space="0" w:color="auto"/>
        <w:left w:val="none" w:sz="0" w:space="0" w:color="auto"/>
        <w:bottom w:val="none" w:sz="0" w:space="0" w:color="auto"/>
        <w:right w:val="none" w:sz="0" w:space="0" w:color="auto"/>
      </w:divBdr>
    </w:div>
    <w:div w:id="976833752">
      <w:bodyDiv w:val="1"/>
      <w:marLeft w:val="0"/>
      <w:marRight w:val="0"/>
      <w:marTop w:val="0"/>
      <w:marBottom w:val="0"/>
      <w:divBdr>
        <w:top w:val="none" w:sz="0" w:space="0" w:color="auto"/>
        <w:left w:val="none" w:sz="0" w:space="0" w:color="auto"/>
        <w:bottom w:val="none" w:sz="0" w:space="0" w:color="auto"/>
        <w:right w:val="none" w:sz="0" w:space="0" w:color="auto"/>
      </w:divBdr>
    </w:div>
    <w:div w:id="1314142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CERES">
      <a:dk1>
        <a:srgbClr val="0A2342"/>
      </a:dk1>
      <a:lt1>
        <a:sysClr val="window" lastClr="FFFFFF"/>
      </a:lt1>
      <a:dk2>
        <a:srgbClr val="BFAC88"/>
      </a:dk2>
      <a:lt2>
        <a:srgbClr val="EBE3D4"/>
      </a:lt2>
      <a:accent1>
        <a:srgbClr val="EBE3D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1058</Words>
  <Characters>6035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Brandhagen,BreeAnn</dc:creator>
  <cp:keywords/>
  <dc:description/>
  <cp:lastModifiedBy>Brandhagen,BreeAnn</cp:lastModifiedBy>
  <cp:revision>3</cp:revision>
  <cp:lastPrinted>2019-11-22T18:52:00Z</cp:lastPrinted>
  <dcterms:created xsi:type="dcterms:W3CDTF">2019-12-11T18:11:00Z</dcterms:created>
  <dcterms:modified xsi:type="dcterms:W3CDTF">2019-12-11T18:13:00Z</dcterms:modified>
</cp:coreProperties>
</file>