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0D" w:rsidRDefault="007B2A0D" w:rsidP="007B2A0D">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Working with Human Samples</w:t>
      </w:r>
      <w:bookmarkEnd w:id="0"/>
      <w:r>
        <w:rPr>
          <w:rFonts w:ascii="inherit" w:hAnsi="inherit"/>
          <w:b w:val="0"/>
          <w:bCs w:val="0"/>
          <w:color w:val="444444"/>
          <w:sz w:val="36"/>
          <w:szCs w:val="36"/>
        </w:rPr>
        <w:t xml:space="preserve"> at CSU – Quick Reference for CSU Researchers</w:t>
      </w:r>
    </w:p>
    <w:p w:rsidR="007B2A0D" w:rsidRDefault="007B2A0D" w:rsidP="007B2A0D">
      <w:pPr>
        <w:spacing w:after="240"/>
        <w:rPr>
          <w:rFonts w:ascii="Droid Sans" w:hAnsi="Droid Sans"/>
          <w:color w:val="1B2A1F"/>
          <w:sz w:val="26"/>
          <w:szCs w:val="26"/>
        </w:rPr>
      </w:pPr>
      <w:r>
        <w:rPr>
          <w:rFonts w:ascii="Droid Sans" w:hAnsi="Droid Sans"/>
          <w:color w:val="1B2A1F"/>
          <w:sz w:val="26"/>
          <w:szCs w:val="26"/>
        </w:rPr>
        <w:pict>
          <v:rect id="_x0000_i1101" style="width:0;height:.75pt" o:hrstd="t" o:hr="t" fillcolor="#a0a0a0" stroked="f"/>
        </w:pict>
      </w:r>
    </w:p>
    <w:p w:rsidR="007B2A0D" w:rsidRDefault="007B2A0D" w:rsidP="007B2A0D">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Analysis of de-identified samples that are “on the shelf” (secondary; </w:t>
      </w:r>
      <w:r>
        <w:rPr>
          <w:rStyle w:val="Strong"/>
          <w:rFonts w:ascii="inherit" w:hAnsi="inherit"/>
          <w:color w:val="1B2A1F"/>
          <w:sz w:val="26"/>
          <w:szCs w:val="26"/>
          <w:bdr w:val="none" w:sz="0" w:space="0" w:color="auto" w:frame="1"/>
        </w:rPr>
        <w:t>not</w:t>
      </w:r>
      <w:r>
        <w:rPr>
          <w:rFonts w:ascii="Droid Sans" w:hAnsi="Droid Sans"/>
          <w:color w:val="1B2A1F"/>
          <w:sz w:val="26"/>
          <w:szCs w:val="26"/>
        </w:rPr>
        <w:t> collected for you or your research) would most likely not be considered human subjects</w:t>
      </w:r>
      <w:r>
        <w:rPr>
          <w:rStyle w:val="asterisk"/>
          <w:rFonts w:ascii="Droid Sans" w:hAnsi="Droid Sans"/>
          <w:color w:val="FF0000"/>
          <w:sz w:val="26"/>
          <w:szCs w:val="26"/>
          <w:bdr w:val="none" w:sz="0" w:space="0" w:color="auto" w:frame="1"/>
        </w:rPr>
        <w:t>*</w:t>
      </w:r>
      <w:r>
        <w:rPr>
          <w:rFonts w:ascii="Droid Sans" w:hAnsi="Droid Sans"/>
          <w:color w:val="1B2A1F"/>
          <w:sz w:val="26"/>
          <w:szCs w:val="26"/>
        </w:rPr>
        <w:t> research.</w:t>
      </w:r>
    </w:p>
    <w:p w:rsidR="007B2A0D" w:rsidRDefault="007B2A0D" w:rsidP="007B2A0D">
      <w:pPr>
        <w:numPr>
          <w:ilvl w:val="0"/>
          <w:numId w:val="32"/>
        </w:numPr>
        <w:spacing w:after="0" w:line="336" w:lineRule="atLeast"/>
        <w:ind w:left="384"/>
        <w:rPr>
          <w:rFonts w:ascii="inherit" w:hAnsi="inherit"/>
          <w:color w:val="1B2A1F"/>
          <w:sz w:val="26"/>
          <w:szCs w:val="26"/>
        </w:rPr>
      </w:pPr>
      <w:r>
        <w:rPr>
          <w:rFonts w:ascii="inherit" w:hAnsi="inherit"/>
          <w:color w:val="1B2A1F"/>
          <w:sz w:val="26"/>
          <w:szCs w:val="26"/>
        </w:rPr>
        <w:t>No IRB review would be required.</w:t>
      </w:r>
    </w:p>
    <w:p w:rsidR="007B2A0D" w:rsidRDefault="007B2A0D" w:rsidP="007B2A0D">
      <w:pPr>
        <w:pStyle w:val="font-fix"/>
        <w:spacing w:before="0" w:beforeAutospacing="0" w:after="240" w:afterAutospacing="0" w:line="336" w:lineRule="atLeast"/>
        <w:rPr>
          <w:rFonts w:ascii="Droid Sans" w:hAnsi="Droid Sans"/>
          <w:color w:val="1B2A1F"/>
          <w:sz w:val="26"/>
          <w:szCs w:val="26"/>
        </w:rPr>
      </w:pPr>
      <w:r>
        <w:rPr>
          <w:rFonts w:ascii="Droid Sans" w:hAnsi="Droid Sans"/>
          <w:color w:val="1B2A1F"/>
          <w:sz w:val="26"/>
          <w:szCs w:val="26"/>
        </w:rPr>
        <w:t>Some research involving human subjects may still be exempt (45CFR46.101) or may be eligible for expedited review procedures (45CFR46.110).</w:t>
      </w:r>
    </w:p>
    <w:p w:rsidR="007B2A0D" w:rsidRDefault="007B2A0D" w:rsidP="007B2A0D">
      <w:pPr>
        <w:numPr>
          <w:ilvl w:val="0"/>
          <w:numId w:val="33"/>
        </w:numPr>
        <w:spacing w:after="0" w:line="336" w:lineRule="atLeast"/>
        <w:ind w:left="384"/>
        <w:rPr>
          <w:rFonts w:ascii="inherit" w:hAnsi="inherit"/>
          <w:color w:val="1B2A1F"/>
          <w:sz w:val="26"/>
          <w:szCs w:val="26"/>
        </w:rPr>
      </w:pPr>
      <w:r>
        <w:rPr>
          <w:rFonts w:ascii="inherit" w:hAnsi="inherit"/>
          <w:color w:val="1B2A1F"/>
          <w:sz w:val="26"/>
          <w:szCs w:val="26"/>
        </w:rPr>
        <w:t xml:space="preserve">An IRB coordinator will work with you to determine if your project </w:t>
      </w:r>
      <w:proofErr w:type="gramStart"/>
      <w:r>
        <w:rPr>
          <w:rFonts w:ascii="inherit" w:hAnsi="inherit"/>
          <w:color w:val="1B2A1F"/>
          <w:sz w:val="26"/>
          <w:szCs w:val="26"/>
        </w:rPr>
        <w:t>must be reviewed</w:t>
      </w:r>
      <w:proofErr w:type="gramEnd"/>
      <w:r>
        <w:rPr>
          <w:rFonts w:ascii="inherit" w:hAnsi="inherit"/>
          <w:color w:val="1B2A1F"/>
          <w:sz w:val="26"/>
          <w:szCs w:val="26"/>
        </w:rPr>
        <w:t xml:space="preserve"> by the IRB, if it requires full review, or is eligible for expedited review.</w:t>
      </w:r>
    </w:p>
    <w:p w:rsidR="007B2A0D" w:rsidRDefault="007B2A0D" w:rsidP="007B2A0D">
      <w:pPr>
        <w:numPr>
          <w:ilvl w:val="0"/>
          <w:numId w:val="33"/>
        </w:numPr>
        <w:spacing w:after="0" w:line="336" w:lineRule="atLeast"/>
        <w:ind w:left="384"/>
        <w:rPr>
          <w:rFonts w:ascii="inherit" w:hAnsi="inherit"/>
          <w:color w:val="1B2A1F"/>
          <w:sz w:val="26"/>
          <w:szCs w:val="26"/>
        </w:rPr>
      </w:pPr>
      <w:r>
        <w:rPr>
          <w:rFonts w:ascii="inherit" w:hAnsi="inherit"/>
          <w:color w:val="1B2A1F"/>
          <w:sz w:val="26"/>
          <w:szCs w:val="26"/>
        </w:rPr>
        <w:t>If the receipt and use of the specimens is determined to be “not human subjects,” or “human subjects exempt research” the coordinator will prepare the relevant memo documenting the exemption status for you and Sponsored Programs (if applicable).</w:t>
      </w:r>
    </w:p>
    <w:p w:rsidR="007B2A0D" w:rsidRDefault="007B2A0D" w:rsidP="007B2A0D">
      <w:pPr>
        <w:pStyle w:val="font-fix"/>
        <w:spacing w:before="0" w:beforeAutospacing="0" w:after="0" w:afterAutospacing="0" w:line="336" w:lineRule="atLeast"/>
        <w:rPr>
          <w:rFonts w:ascii="Droid Sans" w:hAnsi="Droid Sans"/>
          <w:color w:val="1B2A1F"/>
          <w:sz w:val="26"/>
          <w:szCs w:val="26"/>
        </w:rPr>
      </w:pPr>
      <w:r w:rsidRPr="007B2A0D">
        <w:rPr>
          <w:rFonts w:ascii="Droid Sans" w:hAnsi="Droid Sans"/>
          <w:color w:val="1B2A1F"/>
          <w:sz w:val="26"/>
          <w:szCs w:val="26"/>
          <w:bdr w:val="none" w:sz="0" w:space="0" w:color="auto" w:frame="1"/>
        </w:rPr>
        <w:t>Please contact an IRB coordinator.</w:t>
      </w:r>
      <w:r>
        <w:rPr>
          <w:rFonts w:ascii="Droid Sans" w:hAnsi="Droid Sans"/>
          <w:color w:val="1B2A1F"/>
          <w:sz w:val="26"/>
          <w:szCs w:val="26"/>
        </w:rPr>
        <w:br/>
        <w:t>In order to be consistent with OSHA guidelines and best practices for Biomedical research in Biological laboratories</w:t>
      </w:r>
      <w:r>
        <w:rPr>
          <w:rStyle w:val="asterisk"/>
          <w:rFonts w:ascii="Droid Sans" w:hAnsi="Droid Sans"/>
          <w:color w:val="FF0000"/>
          <w:sz w:val="26"/>
          <w:szCs w:val="26"/>
          <w:bdr w:val="none" w:sz="0" w:space="0" w:color="auto" w:frame="1"/>
        </w:rPr>
        <w:t>**</w:t>
      </w:r>
      <w:r>
        <w:rPr>
          <w:rFonts w:ascii="Droid Sans" w:hAnsi="Droid Sans"/>
          <w:color w:val="1B2A1F"/>
          <w:sz w:val="26"/>
          <w:szCs w:val="26"/>
        </w:rPr>
        <w:t> all research using human biological samples shall include IBC protocol approval (regardless of IRB status)</w:t>
      </w:r>
    </w:p>
    <w:p w:rsidR="007B2A0D" w:rsidRDefault="007B2A0D" w:rsidP="007B2A0D">
      <w:pPr>
        <w:numPr>
          <w:ilvl w:val="0"/>
          <w:numId w:val="34"/>
        </w:numPr>
        <w:spacing w:after="0" w:line="336" w:lineRule="atLeast"/>
        <w:ind w:left="384"/>
        <w:rPr>
          <w:rFonts w:ascii="inherit" w:hAnsi="inherit"/>
          <w:color w:val="1B2A1F"/>
          <w:sz w:val="26"/>
          <w:szCs w:val="26"/>
        </w:rPr>
      </w:pPr>
      <w:r>
        <w:rPr>
          <w:rFonts w:ascii="inherit" w:hAnsi="inherit"/>
          <w:color w:val="1B2A1F"/>
          <w:sz w:val="26"/>
          <w:szCs w:val="26"/>
        </w:rPr>
        <w:t>Visit the </w:t>
      </w:r>
      <w:r>
        <w:rPr>
          <w:rFonts w:ascii="inherit" w:hAnsi="inherit"/>
          <w:color w:val="1B2A1F"/>
          <w:sz w:val="26"/>
          <w:szCs w:val="26"/>
        </w:rPr>
        <w:t xml:space="preserve">CSU </w:t>
      </w:r>
      <w:r w:rsidRPr="007B2A0D">
        <w:rPr>
          <w:rFonts w:ascii="inherit" w:hAnsi="inherit"/>
          <w:color w:val="1B2A1F"/>
          <w:sz w:val="26"/>
          <w:szCs w:val="26"/>
          <w:bdr w:val="none" w:sz="0" w:space="0" w:color="auto" w:frame="1"/>
        </w:rPr>
        <w:t>IBC website</w:t>
      </w:r>
      <w:r>
        <w:rPr>
          <w:rFonts w:ascii="inherit" w:hAnsi="inherit"/>
          <w:color w:val="1B2A1F"/>
          <w:sz w:val="26"/>
          <w:szCs w:val="26"/>
        </w:rPr>
        <w:t> to initiate the IBC approval process</w:t>
      </w:r>
    </w:p>
    <w:p w:rsidR="007B2A0D" w:rsidRDefault="007B2A0D" w:rsidP="007B2A0D">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Please </w:t>
      </w:r>
      <w:r w:rsidRPr="007B2A0D">
        <w:rPr>
          <w:rFonts w:ascii="Droid Sans" w:hAnsi="Droid Sans"/>
          <w:color w:val="1B2A1F"/>
          <w:sz w:val="26"/>
          <w:szCs w:val="26"/>
          <w:bdr w:val="none" w:sz="0" w:space="0" w:color="auto" w:frame="1"/>
        </w:rPr>
        <w:t>contact the IBC Coordinator</w:t>
      </w:r>
      <w:r>
        <w:rPr>
          <w:rFonts w:ascii="Droid Sans" w:hAnsi="Droid Sans"/>
          <w:color w:val="1B2A1F"/>
          <w:sz w:val="26"/>
          <w:szCs w:val="26"/>
        </w:rPr>
        <w:t>, with any questions regarding these IBC requirements.</w:t>
      </w:r>
    </w:p>
    <w:p w:rsidR="007B2A0D" w:rsidRDefault="007B2A0D" w:rsidP="007B2A0D">
      <w:pPr>
        <w:pStyle w:val="Heading2"/>
        <w:spacing w:before="300" w:beforeAutospacing="0" w:after="0" w:afterAutospacing="0" w:line="360" w:lineRule="atLeast"/>
        <w:rPr>
          <w:b w:val="0"/>
          <w:bCs w:val="0"/>
          <w:color w:val="444444"/>
          <w:sz w:val="26"/>
          <w:szCs w:val="26"/>
        </w:rPr>
      </w:pPr>
      <w:r>
        <w:rPr>
          <w:b w:val="0"/>
          <w:bCs w:val="0"/>
          <w:color w:val="444444"/>
          <w:sz w:val="26"/>
          <w:szCs w:val="26"/>
        </w:rPr>
        <w:t>Notes/References:</w:t>
      </w:r>
    </w:p>
    <w:p w:rsidR="007B2A0D" w:rsidRDefault="007B2A0D" w:rsidP="007B2A0D">
      <w:pPr>
        <w:pStyle w:val="font-fix"/>
        <w:spacing w:before="0" w:beforeAutospacing="0" w:after="0" w:afterAutospacing="0" w:line="336" w:lineRule="atLeast"/>
        <w:rPr>
          <w:rFonts w:ascii="Droid Sans" w:hAnsi="Droid Sans"/>
          <w:i/>
          <w:iCs/>
          <w:color w:val="808080"/>
          <w:sz w:val="26"/>
          <w:szCs w:val="26"/>
        </w:rPr>
      </w:pPr>
      <w:r>
        <w:rPr>
          <w:rStyle w:val="asterisk"/>
          <w:rFonts w:ascii="Droid Sans" w:hAnsi="Droid Sans"/>
          <w:i/>
          <w:iCs/>
          <w:color w:val="FF0000"/>
          <w:sz w:val="26"/>
          <w:szCs w:val="26"/>
          <w:bdr w:val="none" w:sz="0" w:space="0" w:color="auto" w:frame="1"/>
        </w:rPr>
        <w:t>*</w:t>
      </w:r>
      <w:r>
        <w:rPr>
          <w:rFonts w:ascii="Droid Sans" w:hAnsi="Droid Sans"/>
          <w:i/>
          <w:iCs/>
          <w:color w:val="808080"/>
          <w:sz w:val="26"/>
          <w:szCs w:val="26"/>
        </w:rPr>
        <w:t>The regulatory definition of a “human subject” means a living individual about whom an investigator conducting research obtains data through intervention or interaction with the individual, or identifiable private information” (45CFR46.102(f). </w:t>
      </w:r>
      <w:hyperlink r:id="rId5" w:anchor="c1" w:history="1">
        <w:r>
          <w:rPr>
            <w:rStyle w:val="Hyperlink"/>
            <w:rFonts w:ascii="Droid Sans" w:hAnsi="Droid Sans"/>
            <w:i/>
            <w:iCs/>
            <w:sz w:val="26"/>
            <w:szCs w:val="26"/>
            <w:bdr w:val="none" w:sz="0" w:space="0" w:color="auto" w:frame="1"/>
          </w:rPr>
          <w:t>The NIH has flow charts to help researchers to answer questions about research with human specimens</w:t>
        </w:r>
      </w:hyperlink>
      <w:r>
        <w:rPr>
          <w:rFonts w:ascii="Droid Sans" w:hAnsi="Droid Sans"/>
          <w:i/>
          <w:iCs/>
          <w:color w:val="808080"/>
          <w:sz w:val="26"/>
          <w:szCs w:val="26"/>
        </w:rPr>
        <w:t>.</w:t>
      </w:r>
      <w:r>
        <w:rPr>
          <w:rFonts w:ascii="Droid Sans" w:hAnsi="Droid Sans"/>
          <w:i/>
          <w:iCs/>
          <w:color w:val="808080"/>
          <w:sz w:val="26"/>
          <w:szCs w:val="26"/>
        </w:rPr>
        <w:br/>
      </w:r>
      <w:r>
        <w:rPr>
          <w:rFonts w:ascii="Droid Sans" w:hAnsi="Droid Sans"/>
          <w:i/>
          <w:iCs/>
          <w:color w:val="808080"/>
          <w:sz w:val="26"/>
          <w:szCs w:val="26"/>
        </w:rPr>
        <w:br/>
      </w:r>
      <w:proofErr w:type="gramStart"/>
      <w:r>
        <w:rPr>
          <w:rStyle w:val="asterisk"/>
          <w:rFonts w:ascii="Droid Sans" w:hAnsi="Droid Sans"/>
          <w:i/>
          <w:iCs/>
          <w:color w:val="FF0000"/>
          <w:sz w:val="26"/>
          <w:szCs w:val="26"/>
          <w:bdr w:val="none" w:sz="0" w:space="0" w:color="auto" w:frame="1"/>
        </w:rPr>
        <w:t>**</w:t>
      </w:r>
      <w:r>
        <w:rPr>
          <w:rFonts w:ascii="Droid Sans" w:hAnsi="Droid Sans"/>
          <w:i/>
          <w:iCs/>
          <w:color w:val="808080"/>
          <w:sz w:val="26"/>
          <w:szCs w:val="26"/>
        </w:rPr>
        <w:t>Please</w:t>
      </w:r>
      <w:proofErr w:type="gramEnd"/>
      <w:r>
        <w:rPr>
          <w:rFonts w:ascii="Droid Sans" w:hAnsi="Droid Sans"/>
          <w:i/>
          <w:iCs/>
          <w:color w:val="808080"/>
          <w:sz w:val="26"/>
          <w:szCs w:val="26"/>
        </w:rPr>
        <w:t xml:space="preserve"> refer to the </w:t>
      </w:r>
      <w:hyperlink r:id="rId6" w:history="1">
        <w:r>
          <w:rPr>
            <w:rStyle w:val="Hyperlink"/>
            <w:rFonts w:ascii="Droid Sans" w:hAnsi="Droid Sans"/>
            <w:i/>
            <w:iCs/>
            <w:sz w:val="26"/>
            <w:szCs w:val="26"/>
            <w:bdr w:val="none" w:sz="0" w:space="0" w:color="auto" w:frame="1"/>
          </w:rPr>
          <w:t>BMBL Appendix H</w:t>
        </w:r>
      </w:hyperlink>
      <w:r>
        <w:rPr>
          <w:rFonts w:ascii="Droid Sans" w:hAnsi="Droid Sans"/>
          <w:i/>
          <w:iCs/>
          <w:color w:val="808080"/>
          <w:sz w:val="26"/>
          <w:szCs w:val="26"/>
        </w:rPr>
        <w:t> regarding research using human cell lines and </w:t>
      </w:r>
      <w:hyperlink r:id="rId7" w:history="1">
        <w:r>
          <w:rPr>
            <w:rStyle w:val="Hyperlink"/>
            <w:rFonts w:ascii="Droid Sans" w:hAnsi="Droid Sans"/>
            <w:i/>
            <w:iCs/>
            <w:sz w:val="26"/>
            <w:szCs w:val="26"/>
            <w:bdr w:val="none" w:sz="0" w:space="0" w:color="auto" w:frame="1"/>
          </w:rPr>
          <w:t xml:space="preserve">OSHA’s </w:t>
        </w:r>
        <w:proofErr w:type="spellStart"/>
        <w:r>
          <w:rPr>
            <w:rStyle w:val="Hyperlink"/>
            <w:rFonts w:ascii="Droid Sans" w:hAnsi="Droid Sans"/>
            <w:i/>
            <w:iCs/>
            <w:sz w:val="26"/>
            <w:szCs w:val="26"/>
            <w:bdr w:val="none" w:sz="0" w:space="0" w:color="auto" w:frame="1"/>
          </w:rPr>
          <w:t>Bloodborne</w:t>
        </w:r>
        <w:proofErr w:type="spellEnd"/>
        <w:r>
          <w:rPr>
            <w:rStyle w:val="Hyperlink"/>
            <w:rFonts w:ascii="Droid Sans" w:hAnsi="Droid Sans"/>
            <w:i/>
            <w:iCs/>
            <w:sz w:val="26"/>
            <w:szCs w:val="26"/>
            <w:bdr w:val="none" w:sz="0" w:space="0" w:color="auto" w:frame="1"/>
          </w:rPr>
          <w:t xml:space="preserve"> Pathogens Standard</w:t>
        </w:r>
      </w:hyperlink>
      <w:r>
        <w:rPr>
          <w:rFonts w:ascii="Droid Sans" w:hAnsi="Droid Sans"/>
          <w:i/>
          <w:iCs/>
          <w:color w:val="808080"/>
          <w:sz w:val="26"/>
          <w:szCs w:val="26"/>
        </w:rPr>
        <w:t> for reference material regarding the risk and practices when working with human samples.</w:t>
      </w:r>
    </w:p>
    <w:p w:rsidR="00953EAF" w:rsidRPr="007B2A0D" w:rsidRDefault="00953EAF" w:rsidP="007B2A0D"/>
    <w:sectPr w:rsidR="00953EAF" w:rsidRPr="007B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66BB4"/>
    <w:multiLevelType w:val="multilevel"/>
    <w:tmpl w:val="570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0C40"/>
    <w:multiLevelType w:val="multilevel"/>
    <w:tmpl w:val="6C8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17C0B"/>
    <w:multiLevelType w:val="multilevel"/>
    <w:tmpl w:val="F00A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28A5"/>
    <w:multiLevelType w:val="multilevel"/>
    <w:tmpl w:val="EF2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71D4F"/>
    <w:multiLevelType w:val="multilevel"/>
    <w:tmpl w:val="422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360BE"/>
    <w:multiLevelType w:val="multilevel"/>
    <w:tmpl w:val="364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B21A3"/>
    <w:multiLevelType w:val="multilevel"/>
    <w:tmpl w:val="438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915D4"/>
    <w:multiLevelType w:val="multilevel"/>
    <w:tmpl w:val="288C0A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907F9"/>
    <w:multiLevelType w:val="multilevel"/>
    <w:tmpl w:val="082E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365ECB"/>
    <w:multiLevelType w:val="multilevel"/>
    <w:tmpl w:val="9EAA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A215A"/>
    <w:multiLevelType w:val="multilevel"/>
    <w:tmpl w:val="564E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EC1A60"/>
    <w:multiLevelType w:val="multilevel"/>
    <w:tmpl w:val="323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22"/>
  </w:num>
  <w:num w:numId="4">
    <w:abstractNumId w:val="22"/>
    <w:lvlOverride w:ilvl="1">
      <w:lvl w:ilvl="1">
        <w:numFmt w:val="bullet"/>
        <w:lvlText w:val=""/>
        <w:lvlJc w:val="left"/>
        <w:pPr>
          <w:tabs>
            <w:tab w:val="num" w:pos="1440"/>
          </w:tabs>
          <w:ind w:left="1440" w:hanging="360"/>
        </w:pPr>
        <w:rPr>
          <w:rFonts w:ascii="Symbol" w:hAnsi="Symbol" w:hint="default"/>
          <w:sz w:val="20"/>
        </w:rPr>
      </w:lvl>
    </w:lvlOverride>
  </w:num>
  <w:num w:numId="5">
    <w:abstractNumId w:val="17"/>
  </w:num>
  <w:num w:numId="6">
    <w:abstractNumId w:val="6"/>
  </w:num>
  <w:num w:numId="7">
    <w:abstractNumId w:val="0"/>
  </w:num>
  <w:num w:numId="8">
    <w:abstractNumId w:val="25"/>
  </w:num>
  <w:num w:numId="9">
    <w:abstractNumId w:val="11"/>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24"/>
  </w:num>
  <w:num w:numId="15">
    <w:abstractNumId w:val="15"/>
  </w:num>
  <w:num w:numId="16">
    <w:abstractNumId w:val="16"/>
  </w:num>
  <w:num w:numId="17">
    <w:abstractNumId w:val="28"/>
  </w:num>
  <w:num w:numId="18">
    <w:abstractNumId w:val="1"/>
  </w:num>
  <w:num w:numId="19">
    <w:abstractNumId w:val="27"/>
  </w:num>
  <w:num w:numId="20">
    <w:abstractNumId w:val="9"/>
  </w:num>
  <w:num w:numId="21">
    <w:abstractNumId w:val="3"/>
  </w:num>
  <w:num w:numId="22">
    <w:abstractNumId w:val="20"/>
  </w:num>
  <w:num w:numId="23">
    <w:abstractNumId w:val="8"/>
  </w:num>
  <w:num w:numId="24">
    <w:abstractNumId w:val="12"/>
  </w:num>
  <w:num w:numId="25">
    <w:abstractNumId w:val="14"/>
  </w:num>
  <w:num w:numId="26">
    <w:abstractNumId w:val="18"/>
  </w:num>
  <w:num w:numId="27">
    <w:abstractNumId w:val="18"/>
    <w:lvlOverride w:ilvl="1">
      <w:lvl w:ilvl="1">
        <w:numFmt w:val="bullet"/>
        <w:lvlText w:val=""/>
        <w:lvlJc w:val="left"/>
        <w:pPr>
          <w:tabs>
            <w:tab w:val="num" w:pos="1440"/>
          </w:tabs>
          <w:ind w:left="1440" w:hanging="360"/>
        </w:pPr>
        <w:rPr>
          <w:rFonts w:ascii="Symbol" w:hAnsi="Symbol" w:hint="default"/>
          <w:sz w:val="20"/>
        </w:rPr>
      </w:lvl>
    </w:lvlOverride>
  </w:num>
  <w:num w:numId="28">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13"/>
  </w:num>
  <w:num w:numId="30">
    <w:abstractNumId w:val="23"/>
  </w:num>
  <w:num w:numId="31">
    <w:abstractNumId w:val="21"/>
  </w:num>
  <w:num w:numId="32">
    <w:abstractNumId w:val="4"/>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0A3A4B"/>
    <w:rsid w:val="0032338F"/>
    <w:rsid w:val="00337B7E"/>
    <w:rsid w:val="003C168D"/>
    <w:rsid w:val="003F6628"/>
    <w:rsid w:val="00672D88"/>
    <w:rsid w:val="00692361"/>
    <w:rsid w:val="007B2A0D"/>
    <w:rsid w:val="008D4D1A"/>
    <w:rsid w:val="00953EAF"/>
    <w:rsid w:val="0096250C"/>
    <w:rsid w:val="00A10ABE"/>
    <w:rsid w:val="00C20510"/>
    <w:rsid w:val="00C64AD7"/>
    <w:rsid w:val="00C6646E"/>
    <w:rsid w:val="00C75F18"/>
    <w:rsid w:val="00E8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0ABE"/>
    <w:pPr>
      <w:spacing w:before="100" w:beforeAutospacing="1" w:after="100" w:afterAutospacing="1" w:line="240" w:lineRule="auto"/>
      <w:outlineLvl w:val="1"/>
    </w:pPr>
    <w:rPr>
      <w:rFonts w:ascii="inherit" w:eastAsia="Times New Roman" w:hAnsi="inherit" w:cs="Calibri"/>
      <w:b/>
      <w:bCs/>
      <w:sz w:val="28"/>
      <w:szCs w:val="28"/>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ABE"/>
    <w:rPr>
      <w:rFonts w:ascii="inherit" w:eastAsia="Times New Roman" w:hAnsi="inherit" w:cs="Calibri"/>
      <w:b/>
      <w:bCs/>
      <w:sz w:val="28"/>
      <w:szCs w:val="28"/>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 w:type="paragraph" w:styleId="NormalWeb">
    <w:name w:val="Normal (Web)"/>
    <w:basedOn w:val="Normal"/>
    <w:uiPriority w:val="99"/>
    <w:semiHidden/>
    <w:unhideWhenUsed/>
    <w:rsid w:val="00C64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7B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386998646">
      <w:bodyDiv w:val="1"/>
      <w:marLeft w:val="0"/>
      <w:marRight w:val="0"/>
      <w:marTop w:val="0"/>
      <w:marBottom w:val="0"/>
      <w:divBdr>
        <w:top w:val="none" w:sz="0" w:space="0" w:color="auto"/>
        <w:left w:val="none" w:sz="0" w:space="0" w:color="auto"/>
        <w:bottom w:val="none" w:sz="0" w:space="0" w:color="auto"/>
        <w:right w:val="none" w:sz="0" w:space="0" w:color="auto"/>
      </w:divBdr>
    </w:div>
    <w:div w:id="635185911">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1494764">
      <w:bodyDiv w:val="1"/>
      <w:marLeft w:val="0"/>
      <w:marRight w:val="0"/>
      <w:marTop w:val="0"/>
      <w:marBottom w:val="0"/>
      <w:divBdr>
        <w:top w:val="none" w:sz="0" w:space="0" w:color="auto"/>
        <w:left w:val="none" w:sz="0" w:space="0" w:color="auto"/>
        <w:bottom w:val="none" w:sz="0" w:space="0" w:color="auto"/>
        <w:right w:val="none" w:sz="0" w:space="0" w:color="auto"/>
      </w:divBdr>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0770864">
      <w:bodyDiv w:val="1"/>
      <w:marLeft w:val="0"/>
      <w:marRight w:val="0"/>
      <w:marTop w:val="0"/>
      <w:marBottom w:val="0"/>
      <w:divBdr>
        <w:top w:val="none" w:sz="0" w:space="0" w:color="auto"/>
        <w:left w:val="none" w:sz="0" w:space="0" w:color="auto"/>
        <w:bottom w:val="none" w:sz="0" w:space="0" w:color="auto"/>
        <w:right w:val="none" w:sz="0" w:space="0" w:color="auto"/>
      </w:divBdr>
      <w:divsChild>
        <w:div w:id="899438820">
          <w:marLeft w:val="0"/>
          <w:marRight w:val="0"/>
          <w:marTop w:val="0"/>
          <w:marBottom w:val="0"/>
          <w:divBdr>
            <w:top w:val="none" w:sz="0" w:space="0" w:color="auto"/>
            <w:left w:val="none" w:sz="0" w:space="0" w:color="auto"/>
            <w:bottom w:val="none" w:sz="0" w:space="0" w:color="auto"/>
            <w:right w:val="none" w:sz="0" w:space="0" w:color="auto"/>
          </w:divBdr>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482193378">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69869677">
      <w:bodyDiv w:val="1"/>
      <w:marLeft w:val="0"/>
      <w:marRight w:val="0"/>
      <w:marTop w:val="0"/>
      <w:marBottom w:val="0"/>
      <w:divBdr>
        <w:top w:val="none" w:sz="0" w:space="0" w:color="auto"/>
        <w:left w:val="none" w:sz="0" w:space="0" w:color="auto"/>
        <w:bottom w:val="none" w:sz="0" w:space="0" w:color="auto"/>
        <w:right w:val="none" w:sz="0" w:space="0" w:color="auto"/>
      </w:divBdr>
      <w:divsChild>
        <w:div w:id="1612080501">
          <w:marLeft w:val="0"/>
          <w:marRight w:val="0"/>
          <w:marTop w:val="0"/>
          <w:marBottom w:val="0"/>
          <w:divBdr>
            <w:top w:val="none" w:sz="0" w:space="0" w:color="auto"/>
            <w:left w:val="none" w:sz="0" w:space="0" w:color="auto"/>
            <w:bottom w:val="none" w:sz="0" w:space="0" w:color="auto"/>
            <w:right w:val="none" w:sz="0" w:space="0" w:color="auto"/>
          </w:divBdr>
        </w:div>
      </w:divsChild>
    </w:div>
    <w:div w:id="1829249480">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SLTC/bloodbornepathogens/gen_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biosafety/publications/bmbl5/BMBL5_appendixH.pdf" TargetMode="External"/><Relationship Id="rId5" Type="http://schemas.openxmlformats.org/officeDocument/2006/relationships/hyperlink" Target="http://www.hhs.gov/ohrp/policy/checklists/decisionchar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2019-01-29T22:09:00Z</dcterms:created>
  <dcterms:modified xsi:type="dcterms:W3CDTF">2019-01-29T22:09:00Z</dcterms:modified>
</cp:coreProperties>
</file>