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461A4" w14:textId="67FA48F5" w:rsidR="00696EB4" w:rsidRPr="009C6B43" w:rsidRDefault="00696EB4" w:rsidP="00696EB4">
      <w:pPr>
        <w:pStyle w:val="Heading2"/>
        <w:rPr>
          <w:rFonts w:asciiTheme="minorHAnsi" w:hAnsiTheme="minorHAnsi" w:cstheme="minorHAnsi"/>
          <w:sz w:val="36"/>
          <w:szCs w:val="36"/>
        </w:rPr>
      </w:pPr>
      <w:r w:rsidRPr="009C6B43">
        <w:rPr>
          <w:rFonts w:asciiTheme="minorHAnsi" w:hAnsiTheme="minorHAnsi" w:cstheme="minorHAnsi"/>
          <w:sz w:val="36"/>
          <w:szCs w:val="36"/>
        </w:rPr>
        <w:t>Equipment</w:t>
      </w:r>
    </w:p>
    <w:p w14:paraId="2497ADDA" w14:textId="77777777" w:rsidR="009C6B43" w:rsidRDefault="009C6B43" w:rsidP="009C6B43">
      <w:pPr>
        <w:spacing w:before="120" w:after="120"/>
        <w:rPr>
          <w:rFonts w:asciiTheme="minorHAnsi" w:hAnsiTheme="minorHAnsi" w:cstheme="minorHAnsi"/>
          <w:b/>
          <w:sz w:val="23"/>
          <w:szCs w:val="23"/>
        </w:rPr>
      </w:pPr>
    </w:p>
    <w:p w14:paraId="707C5BDD" w14:textId="6E0DDB01" w:rsidR="0085554D" w:rsidRPr="007C2433" w:rsidRDefault="0085554D" w:rsidP="009C6B43">
      <w:pPr>
        <w:spacing w:before="120" w:after="120"/>
        <w:rPr>
          <w:rFonts w:asciiTheme="minorHAnsi" w:hAnsiTheme="minorHAnsi" w:cstheme="minorHAnsi"/>
          <w:b/>
        </w:rPr>
      </w:pPr>
      <w:r w:rsidRPr="007C2433">
        <w:rPr>
          <w:rFonts w:asciiTheme="minorHAnsi" w:hAnsiTheme="minorHAnsi" w:cstheme="minorHAnsi"/>
          <w:b/>
        </w:rPr>
        <w:t>Mass Spectrometry</w:t>
      </w:r>
    </w:p>
    <w:p w14:paraId="476BFB64" w14:textId="77777777" w:rsidR="00357502" w:rsidRPr="007C2433" w:rsidRDefault="00357502" w:rsidP="0035750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GC/MS - Agilent 5973N Mass Selective Detector interfaced to a 6890 gas chromatograph which is equipped with a 7683 automatic liquid sampler with EI source.</w:t>
      </w:r>
    </w:p>
    <w:p w14:paraId="14980099" w14:textId="10E48361" w:rsidR="00357502" w:rsidRPr="007C2433" w:rsidRDefault="00357502" w:rsidP="0035750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GC/MS – Thermo Scientific ISQ QD single quadrupole GC-MS with Trace 1310 GC and with automatic liquid sampler. </w:t>
      </w:r>
    </w:p>
    <w:p w14:paraId="7F26A365" w14:textId="7B791E36" w:rsidR="0085554D" w:rsidRPr="007C2433" w:rsidRDefault="0085554D" w:rsidP="003A4E0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GC/MSMS - Thermo Scientific TSQ 8000 Evo Triple Quadrupole GC-MS/MS, equipped </w:t>
      </w:r>
      <w:r w:rsidR="00357502"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with Triplus RSH autosampler 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and EI and CI </w:t>
      </w:r>
      <w:r w:rsidR="004F72F5"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(methane) 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sources.</w:t>
      </w:r>
    </w:p>
    <w:p w14:paraId="014BAE34" w14:textId="34E943DB" w:rsidR="00937B52" w:rsidRPr="007C2433" w:rsidRDefault="00937B52" w:rsidP="003A4E0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iCs/>
          <w:color w:val="000000" w:themeColor="text1"/>
          <w:sz w:val="23"/>
          <w:szCs w:val="23"/>
        </w:rPr>
        <w:t xml:space="preserve">MARKES Thermal desorption Unity-xr with Ultra-xr (100 sorbent tubes) autosampler. Interfaced to Thermo </w:t>
      </w:r>
      <w:r w:rsidR="00357502" w:rsidRPr="007C2433">
        <w:rPr>
          <w:rFonts w:asciiTheme="minorHAnsi" w:hAnsiTheme="minorHAnsi" w:cstheme="minorHAnsi"/>
          <w:iCs/>
          <w:color w:val="000000" w:themeColor="text1"/>
          <w:sz w:val="23"/>
          <w:szCs w:val="23"/>
        </w:rPr>
        <w:t>ISQ QD</w:t>
      </w:r>
      <w:r w:rsidR="009B147A" w:rsidRPr="007C2433">
        <w:rPr>
          <w:rFonts w:asciiTheme="minorHAnsi" w:hAnsiTheme="minorHAnsi" w:cstheme="minorHAnsi"/>
          <w:iCs/>
          <w:color w:val="000000" w:themeColor="text1"/>
          <w:sz w:val="23"/>
          <w:szCs w:val="23"/>
        </w:rPr>
        <w:t xml:space="preserve"> </w:t>
      </w:r>
      <w:r w:rsidRPr="007C2433">
        <w:rPr>
          <w:rFonts w:asciiTheme="minorHAnsi" w:hAnsiTheme="minorHAnsi" w:cstheme="minorHAnsi"/>
          <w:iCs/>
          <w:color w:val="000000" w:themeColor="text1"/>
          <w:sz w:val="23"/>
          <w:szCs w:val="23"/>
        </w:rPr>
        <w:t xml:space="preserve">GC </w:t>
      </w:r>
      <w:r w:rsidR="00357502" w:rsidRPr="007C2433">
        <w:rPr>
          <w:rFonts w:asciiTheme="minorHAnsi" w:hAnsiTheme="minorHAnsi" w:cstheme="minorHAnsi"/>
          <w:iCs/>
          <w:color w:val="000000" w:themeColor="text1"/>
          <w:sz w:val="23"/>
          <w:szCs w:val="23"/>
        </w:rPr>
        <w:t>single</w:t>
      </w:r>
      <w:r w:rsidRPr="007C2433">
        <w:rPr>
          <w:rFonts w:asciiTheme="minorHAnsi" w:hAnsiTheme="minorHAnsi" w:cstheme="minorHAnsi"/>
          <w:iCs/>
          <w:color w:val="000000" w:themeColor="text1"/>
          <w:sz w:val="23"/>
          <w:szCs w:val="23"/>
        </w:rPr>
        <w:t xml:space="preserve"> quadrupole mass spectrometer.</w:t>
      </w:r>
    </w:p>
    <w:p w14:paraId="19294310" w14:textId="21647759" w:rsidR="0085554D" w:rsidRPr="007C2433" w:rsidRDefault="0085554D" w:rsidP="003A4E0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Thermo-Finnigan LTQ LC/MSMS linear Ion-trap mass spectrometer with ESI source.</w:t>
      </w:r>
    </w:p>
    <w:p w14:paraId="71A08FB5" w14:textId="2B8D8A16" w:rsidR="00266596" w:rsidRPr="007C2433" w:rsidRDefault="00266596" w:rsidP="003A4E0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iCs/>
          <w:color w:val="000000" w:themeColor="text1"/>
          <w:sz w:val="23"/>
          <w:szCs w:val="23"/>
        </w:rPr>
        <w:t>Bruker maXis Plus ultra</w:t>
      </w:r>
      <w:r w:rsidR="00313E98" w:rsidRPr="007C2433">
        <w:rPr>
          <w:rFonts w:asciiTheme="minorHAnsi" w:hAnsiTheme="minorHAnsi" w:cstheme="minorHAnsi"/>
          <w:iCs/>
          <w:color w:val="000000" w:themeColor="text1"/>
          <w:sz w:val="23"/>
          <w:szCs w:val="23"/>
        </w:rPr>
        <w:t>-</w:t>
      </w:r>
      <w:r w:rsidRPr="007C2433">
        <w:rPr>
          <w:rFonts w:asciiTheme="minorHAnsi" w:hAnsiTheme="minorHAnsi" w:cstheme="minorHAnsi"/>
          <w:iCs/>
          <w:color w:val="000000" w:themeColor="text1"/>
          <w:sz w:val="23"/>
          <w:szCs w:val="23"/>
        </w:rPr>
        <w:t>high</w:t>
      </w:r>
      <w:r w:rsidR="00313E98" w:rsidRPr="007C2433">
        <w:rPr>
          <w:rFonts w:asciiTheme="minorHAnsi" w:hAnsiTheme="minorHAnsi" w:cstheme="minorHAnsi"/>
          <w:iCs/>
          <w:color w:val="000000" w:themeColor="text1"/>
          <w:sz w:val="23"/>
          <w:szCs w:val="23"/>
        </w:rPr>
        <w:t>-</w:t>
      </w:r>
      <w:r w:rsidRPr="007C2433">
        <w:rPr>
          <w:rFonts w:asciiTheme="minorHAnsi" w:hAnsiTheme="minorHAnsi" w:cstheme="minorHAnsi"/>
          <w:iCs/>
          <w:color w:val="000000" w:themeColor="text1"/>
          <w:sz w:val="23"/>
          <w:szCs w:val="23"/>
        </w:rPr>
        <w:t>resolution quadrupole time of flight (QTOF) mass spectrometer with Waters Acquity H-class UPLC. Equipped with Bruker ESI and APCI sources</w:t>
      </w:r>
      <w:r w:rsidR="00357502" w:rsidRPr="007C2433">
        <w:rPr>
          <w:rFonts w:asciiTheme="minorHAnsi" w:hAnsiTheme="minorHAnsi" w:cstheme="minorHAnsi"/>
          <w:iCs/>
          <w:color w:val="000000" w:themeColor="text1"/>
          <w:sz w:val="23"/>
          <w:szCs w:val="23"/>
        </w:rPr>
        <w:t>.</w:t>
      </w:r>
    </w:p>
    <w:p w14:paraId="647F5D86" w14:textId="29B60773" w:rsidR="0085554D" w:rsidRPr="007C2433" w:rsidRDefault="0085554D" w:rsidP="003A4E0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LC/TOF-MS (accurate mass) Agilent 6224</w:t>
      </w:r>
      <w:r w:rsidR="004F72F5"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walk-up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time-of-flight mass spectrometer (</w:t>
      </w:r>
      <w:r w:rsidR="004F72F5"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W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TOF) interfaced to an </w:t>
      </w:r>
      <w:r w:rsidR="004F72F5"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Agilent 1200 HPLC</w:t>
      </w:r>
      <w:r w:rsidR="004F72F5" w:rsidRPr="007C2433" w:rsidDel="004F72F5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>with electrospray</w:t>
      </w:r>
      <w:r w:rsidR="004F72F5"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 xml:space="preserve"> and</w:t>
      </w:r>
      <w:r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 xml:space="preserve"> multi-mode (ESI/APCI) sources</w:t>
      </w:r>
      <w:r w:rsidR="00357502"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, and </w:t>
      </w:r>
      <w:r w:rsidR="00357502" w:rsidRPr="007C2433">
        <w:rPr>
          <w:rFonts w:asciiTheme="minorHAnsi" w:hAnsiTheme="minorHAnsi" w:cstheme="minorHAnsi"/>
          <w:iCs/>
          <w:color w:val="000000" w:themeColor="text1"/>
          <w:sz w:val="23"/>
          <w:szCs w:val="23"/>
        </w:rPr>
        <w:t>an IonSense Direct Analysis in Real Time (DART) ambient ionization source.</w:t>
      </w:r>
    </w:p>
    <w:p w14:paraId="0533CC21" w14:textId="3E0D71BB" w:rsidR="0085554D" w:rsidRPr="007C2433" w:rsidRDefault="0085554D" w:rsidP="003A4E0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>LC/TOF</w:t>
      </w:r>
      <w:r w:rsidR="004F72F5"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>-</w:t>
      </w:r>
      <w:r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>MS</w:t>
      </w:r>
      <w:r w:rsidR="004F72F5"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 xml:space="preserve"> (accurate mass) Agilent </w:t>
      </w:r>
      <w:r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>6230 Agilent time-of-flight mass spectrometer (BTOF) interfaced to an Agilent 1290 Infinity UHPLC with electrospray</w:t>
      </w:r>
      <w:r w:rsidR="004F72F5"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 xml:space="preserve"> and</w:t>
      </w:r>
      <w:r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 xml:space="preserve"> multi-mode (ESI/APCI) sources.</w:t>
      </w:r>
    </w:p>
    <w:p w14:paraId="2F2AB76D" w14:textId="224A40A4" w:rsidR="0085554D" w:rsidRPr="007C2433" w:rsidRDefault="0085554D" w:rsidP="003A4E0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LC/QTOF-MSMS (accurate mass) Agilent 6510</w:t>
      </w:r>
      <w:r w:rsidR="004F72F5"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quadrupole 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time-of-flight mass spectrometer (QTOF) interfaced to an Agilent 1200 HPLC with electrospray</w:t>
      </w:r>
      <w:r w:rsidR="004F72F5"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and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multi-mode (ESI/APCI) sources</w:t>
      </w:r>
    </w:p>
    <w:p w14:paraId="784AFFC0" w14:textId="3E3C3847" w:rsidR="0085554D" w:rsidRPr="007C2433" w:rsidRDefault="0085554D" w:rsidP="003A4E0B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>Waters Xevo UPLC-MSMS triple quad</w:t>
      </w:r>
      <w:r w:rsidR="004F72F5"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 xml:space="preserve">rupole with </w:t>
      </w:r>
      <w:r w:rsidR="00776D3C"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 xml:space="preserve">Waters Acquity H-class UPLC, </w:t>
      </w:r>
      <w:r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>with ESI ionization</w:t>
      </w:r>
      <w:r w:rsidR="00776D3C"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>.</w:t>
      </w:r>
    </w:p>
    <w:p w14:paraId="2FBF6861" w14:textId="2747D5B5" w:rsidR="00EA503E" w:rsidRPr="007C2433" w:rsidRDefault="00EA503E" w:rsidP="003A4E0B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 xml:space="preserve">Waters </w:t>
      </w:r>
      <w:r w:rsidR="00A84544"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 xml:space="preserve">Acquity </w:t>
      </w:r>
      <w:r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>UPLC</w:t>
      </w:r>
      <w:r w:rsidR="00776D3C"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 xml:space="preserve"> with PDA detector.</w:t>
      </w:r>
    </w:p>
    <w:p w14:paraId="305E6116" w14:textId="77777777" w:rsidR="00EA503E" w:rsidRPr="007C2433" w:rsidRDefault="00EA503E" w:rsidP="00EA503E">
      <w:pPr>
        <w:pStyle w:val="ListParagraph"/>
        <w:widowControl w:val="0"/>
        <w:autoSpaceDE w:val="0"/>
        <w:autoSpaceDN w:val="0"/>
        <w:adjustRightInd w:val="0"/>
        <w:ind w:left="540"/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</w:pPr>
    </w:p>
    <w:p w14:paraId="588BAD24" w14:textId="369A5B15" w:rsidR="0085554D" w:rsidRPr="007C2433" w:rsidRDefault="0085554D" w:rsidP="007C2433">
      <w:pPr>
        <w:spacing w:before="120" w:after="120"/>
        <w:rPr>
          <w:rFonts w:asciiTheme="minorHAnsi" w:hAnsiTheme="minorHAnsi" w:cstheme="minorHAnsi"/>
          <w:b/>
          <w:color w:val="000000" w:themeColor="text1"/>
        </w:rPr>
      </w:pPr>
      <w:r w:rsidRPr="007C2433">
        <w:rPr>
          <w:rFonts w:asciiTheme="minorHAnsi" w:hAnsiTheme="minorHAnsi" w:cstheme="minorHAnsi"/>
          <w:b/>
          <w:color w:val="000000" w:themeColor="text1"/>
        </w:rPr>
        <w:t>NMR</w:t>
      </w:r>
      <w:r w:rsidR="001A2DF3" w:rsidRPr="007C2433">
        <w:rPr>
          <w:rFonts w:asciiTheme="minorHAnsi" w:hAnsiTheme="minorHAnsi" w:cstheme="minorHAnsi"/>
          <w:b/>
          <w:color w:val="000000" w:themeColor="text1"/>
        </w:rPr>
        <w:t>/EPR</w:t>
      </w:r>
      <w:r w:rsidRPr="007C2433">
        <w:rPr>
          <w:rFonts w:asciiTheme="minorHAnsi" w:hAnsiTheme="minorHAnsi" w:cstheme="minorHAnsi"/>
          <w:b/>
          <w:color w:val="000000" w:themeColor="text1"/>
        </w:rPr>
        <w:t xml:space="preserve"> Spectroscopy</w:t>
      </w:r>
    </w:p>
    <w:p w14:paraId="5BEAD845" w14:textId="3296EE2A" w:rsidR="001A2DF3" w:rsidRPr="007C2433" w:rsidRDefault="001A2DF3" w:rsidP="0072293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>Agilent (Varian) 400MR: Equipped with Automated Tuning and a 76</w:t>
      </w:r>
      <w:r w:rsidR="000B6097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>2</w:t>
      </w:r>
      <w:r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 xml:space="preserve">0 </w:t>
      </w:r>
      <w:r w:rsidR="0039165B"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>96-s</w:t>
      </w:r>
      <w:r w:rsidR="000B6097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>l</w:t>
      </w:r>
      <w:r w:rsidR="0039165B"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 xml:space="preserve">ot </w:t>
      </w:r>
      <w:r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>Sample Changer.</w:t>
      </w:r>
    </w:p>
    <w:p w14:paraId="5B77ABAD" w14:textId="767A7AC2" w:rsidR="001A2DF3" w:rsidRPr="007C2433" w:rsidRDefault="001A2DF3" w:rsidP="0072293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 xml:space="preserve">Bruker US400: Equipped with BBFO SMART Probe and SampleCase. </w:t>
      </w:r>
    </w:p>
    <w:p w14:paraId="1901F92C" w14:textId="10318407" w:rsidR="001A2DF3" w:rsidRPr="007C2433" w:rsidRDefault="001A2DF3" w:rsidP="0072293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 xml:space="preserve">Bruker NEO400: Equipped with a Prodigy BBFO </w:t>
      </w:r>
      <w:r w:rsidR="000B6097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>Cryo-</w:t>
      </w:r>
      <w:r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>Probe and SampleCase.</w:t>
      </w:r>
    </w:p>
    <w:p w14:paraId="7BC0C0FB" w14:textId="79FBFD5B" w:rsidR="001A2DF3" w:rsidRPr="007C2433" w:rsidRDefault="001A2DF3" w:rsidP="0072293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 xml:space="preserve">Bruker Ascend 400: Equipped with BBFO smart probe, sample case, and extended range VT. </w:t>
      </w:r>
    </w:p>
    <w:p w14:paraId="2CB85FA3" w14:textId="15BBCE0B" w:rsidR="001A2DF3" w:rsidRPr="007C2433" w:rsidRDefault="001A2DF3" w:rsidP="0072293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>Agilent Inova 500: With three channels, 3-axis gradients and many other accessories including HCN, broadband probes and a NANO (</w:t>
      </w:r>
      <w:r w:rsidR="0039165B"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>HRMAS</w:t>
      </w:r>
      <w:r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>) probe.</w:t>
      </w:r>
    </w:p>
    <w:p w14:paraId="30CBB0D7" w14:textId="3839ACD5" w:rsidR="001A2DF3" w:rsidRPr="007C2433" w:rsidRDefault="001A2DF3" w:rsidP="00722931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eastAsiaTheme="minorHAnsi" w:hAnsiTheme="minorHAnsi" w:cstheme="minorHAnsi"/>
          <w:color w:val="000000" w:themeColor="text1"/>
          <w:sz w:val="23"/>
          <w:szCs w:val="23"/>
        </w:rPr>
        <w:t>Agilent Inova 600: With four channels, 2H decoupling, 3-axis gradients and many other accessories including HCN and a flow-probe.</w:t>
      </w:r>
    </w:p>
    <w:p w14:paraId="1C538601" w14:textId="53E13C64" w:rsidR="006E4A0D" w:rsidRDefault="006E4A0D" w:rsidP="0072293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Bruker ELEXSYS E500 X</w:t>
      </w:r>
      <w:r w:rsidRPr="007C2433">
        <w:rPr>
          <w:rFonts w:asciiTheme="minorHAnsi" w:eastAsia="Calibri" w:hAnsiTheme="minorHAnsi" w:cstheme="minorHAnsi"/>
          <w:color w:val="000000" w:themeColor="text1"/>
          <w:sz w:val="23"/>
          <w:szCs w:val="23"/>
        </w:rPr>
        <w:t>‐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Band CW EPR Spectrometer System with 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Bruker cold edge and cryostat.</w:t>
      </w:r>
      <w:r w:rsidR="00353EDF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002C2B">
        <w:rPr>
          <w:rFonts w:asciiTheme="minorHAnsi" w:hAnsiTheme="minorHAnsi" w:cstheme="minorHAnsi"/>
          <w:color w:val="000000" w:themeColor="text1"/>
          <w:sz w:val="23"/>
          <w:szCs w:val="23"/>
        </w:rPr>
        <w:t>Dual band and high sensitivity probe options are available.</w:t>
      </w:r>
    </w:p>
    <w:p w14:paraId="4B48842B" w14:textId="4DAEA362" w:rsidR="006E4A0D" w:rsidRPr="00625EA5" w:rsidRDefault="006E4A0D" w:rsidP="0072293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Bruker EMX X-band EPR Spectrometer System</w:t>
      </w:r>
      <w:r w:rsidR="00BF7256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</w:p>
    <w:p w14:paraId="11FBA69A" w14:textId="5C4E94C8" w:rsidR="007C2433" w:rsidRPr="00BF7256" w:rsidRDefault="00366931" w:rsidP="0072293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Spare Parts Store (working): Three Inova Consoles, Two Mercury Plus Consoles, one mothballed narrow bore (NB) self-shielding Magnex US400 magnet and accessories, two de-energized NB 300 oxford magnets, Magnex Charging Kit, </w:t>
      </w:r>
      <w:r w:rsidR="00B94136"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Stainless hydraulic solenoid lift kit, 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Variety of Varian solution probes, one 3.2mm Varian 400 MHz CPMAS probe.</w:t>
      </w:r>
    </w:p>
    <w:p w14:paraId="00F908EC" w14:textId="32750C20" w:rsidR="0085554D" w:rsidRPr="007C2433" w:rsidRDefault="0085554D" w:rsidP="009C6B43">
      <w:pPr>
        <w:spacing w:before="120" w:after="120"/>
        <w:rPr>
          <w:rFonts w:asciiTheme="minorHAnsi" w:hAnsiTheme="minorHAnsi" w:cstheme="minorHAnsi"/>
          <w:b/>
          <w:color w:val="000000" w:themeColor="text1"/>
        </w:rPr>
      </w:pPr>
      <w:r w:rsidRPr="007C2433">
        <w:rPr>
          <w:rFonts w:asciiTheme="minorHAnsi" w:hAnsiTheme="minorHAnsi" w:cstheme="minorHAnsi"/>
          <w:b/>
          <w:color w:val="000000" w:themeColor="text1"/>
        </w:rPr>
        <w:lastRenderedPageBreak/>
        <w:t>Spectroscopy</w:t>
      </w:r>
    </w:p>
    <w:p w14:paraId="0288C77B" w14:textId="323D85DA" w:rsidR="0085554D" w:rsidRPr="007C2433" w:rsidRDefault="003A4E0B" w:rsidP="00722931">
      <w:pPr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Nicolet iS-50 FT-IR spectrometer with a single pass diamond ATR-ZnSe also a high index of refraction Ge crystal for thin films, powders and liquids; Harrick Grazing Angle Reflectance Accessory for thin films on metal or semiconductor substrates; Gemini Diffuse Reflectance Accessory for non-reflecting powder materials.</w:t>
      </w:r>
    </w:p>
    <w:p w14:paraId="340BFC13" w14:textId="77777777" w:rsidR="0085554D" w:rsidRPr="007C2433" w:rsidRDefault="0085554D" w:rsidP="0072293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Agilent (Cary) UV-Vis-NIR equipped with VASRA or Variable Angle Specular Reflectance Accessory that is used with thin films at angles from 20 to 70 degrees; Praying Mantis diffuse reflection analysis of solids and powders.</w:t>
      </w:r>
    </w:p>
    <w:p w14:paraId="4AD2403D" w14:textId="09DE5966" w:rsidR="0085554D" w:rsidRPr="007C2433" w:rsidRDefault="0085554D" w:rsidP="00722931">
      <w:pPr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Malvern Zetasizer Nano ZS with 633nm ‘red’ laser for size measurement of particles and molecules (e.g. proteins) dispersed in a liquid (using dynamic light scattering, DLS); zeta-potential of colloids and nano particles for predicting dispersion stability (using electrophoretic light scattering); and the measurement of microrheology of protein and polymer solutions. The high performance of this instrument also enables the measurement of molecular weight of macromolecules.</w:t>
      </w:r>
    </w:p>
    <w:p w14:paraId="31CBCA8C" w14:textId="6294F5AB" w:rsidR="009C6B43" w:rsidRDefault="00313E98" w:rsidP="00722931">
      <w:pPr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Edinburgh FS5 spectrofluorometer for steady state </w:t>
      </w:r>
      <w:r w:rsidR="00383277"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(150 W xenon lamp) 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and time-resolved fluorescence emission measurements in the 230-870 nm spectral range. Fluorescence lifetime capability (TCSPC – Time Correlated Single Photon Counting</w:t>
      </w:r>
      <w:r w:rsidR="00383277"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) with EPLED 320nm, 365nm, 450nm, and 650nm LEDs, and 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EPL</w:t>
      </w:r>
      <w:r w:rsidR="00383277"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510nm </w:t>
      </w:r>
      <w:r w:rsidR="00383277"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pulsed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diode laser). Temperature controlled sample holder and solid sample holder. Integrating sphere for quantum yield measurements.</w:t>
      </w:r>
    </w:p>
    <w:p w14:paraId="07A18EF8" w14:textId="77777777" w:rsidR="0039176F" w:rsidRPr="0039176F" w:rsidRDefault="0039176F" w:rsidP="0039176F">
      <w:pPr>
        <w:ind w:left="360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114A667A" w14:textId="7FD88DFB" w:rsidR="00D968DC" w:rsidRPr="007C2433" w:rsidRDefault="00D968DC" w:rsidP="009C6B43">
      <w:pPr>
        <w:spacing w:before="120" w:after="120"/>
        <w:rPr>
          <w:rFonts w:asciiTheme="minorHAnsi" w:hAnsiTheme="minorHAnsi" w:cstheme="minorHAnsi"/>
          <w:b/>
          <w:color w:val="000000" w:themeColor="text1"/>
        </w:rPr>
      </w:pPr>
      <w:r w:rsidRPr="007C2433">
        <w:rPr>
          <w:rFonts w:asciiTheme="minorHAnsi" w:hAnsiTheme="minorHAnsi" w:cstheme="minorHAnsi"/>
          <w:b/>
          <w:color w:val="000000" w:themeColor="text1"/>
        </w:rPr>
        <w:t xml:space="preserve">Magnetic </w:t>
      </w:r>
      <w:r w:rsidR="009C6B43" w:rsidRPr="007C2433">
        <w:rPr>
          <w:rFonts w:asciiTheme="minorHAnsi" w:hAnsiTheme="minorHAnsi" w:cstheme="minorHAnsi"/>
          <w:b/>
          <w:color w:val="000000" w:themeColor="text1"/>
        </w:rPr>
        <w:t xml:space="preserve">and Physical </w:t>
      </w:r>
      <w:r w:rsidRPr="007C2433">
        <w:rPr>
          <w:rFonts w:asciiTheme="minorHAnsi" w:hAnsiTheme="minorHAnsi" w:cstheme="minorHAnsi"/>
          <w:b/>
          <w:color w:val="000000" w:themeColor="text1"/>
        </w:rPr>
        <w:t>Properties</w:t>
      </w:r>
    </w:p>
    <w:p w14:paraId="44FDA0C0" w14:textId="77777777" w:rsidR="000F22EE" w:rsidRPr="007C2433" w:rsidRDefault="000F22EE" w:rsidP="00722931">
      <w:pPr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Quantum Design PPMS – 9T, DC Resistivity, Electrical Transport, Vibrating Sample Magnetometer (VSM), Thermal Transport, Heat Capacity, Horizontal Rotator, Multi-Function Probe, VT from 1.8 K to 1000 K</w:t>
      </w:r>
    </w:p>
    <w:p w14:paraId="510CCC2D" w14:textId="4509037C" w:rsidR="000F22EE" w:rsidRPr="007C2433" w:rsidRDefault="000F22EE" w:rsidP="00722931">
      <w:pPr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Quantum Design MPMSXL – 5T supercon with SQUID AC susceptibility, Reciprocating Sample Option (RSO) for DC field measurements, VT from 1.8 K to 400 K</w:t>
      </w:r>
    </w:p>
    <w:p w14:paraId="05D783A4" w14:textId="4C3641FA" w:rsidR="001A2DF3" w:rsidRDefault="001A2DF3" w:rsidP="0072293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Quantum Design Dilution Refrigerator Probe, VT to 50mK (</w:t>
      </w:r>
      <w:r w:rsidR="005F7DD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Prof. 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Kate Ross, Physics)</w:t>
      </w:r>
    </w:p>
    <w:p w14:paraId="44AD09BB" w14:textId="11A7B126" w:rsidR="007F6D7E" w:rsidRPr="007C2433" w:rsidRDefault="00986B19" w:rsidP="0072293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Quantum Design </w:t>
      </w:r>
      <w:r w:rsidR="004D164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iQuantum Helium-3 </w:t>
      </w:r>
      <w:r w:rsidR="00D46309">
        <w:rPr>
          <w:rFonts w:asciiTheme="minorHAnsi" w:hAnsiTheme="minorHAnsi" w:cstheme="minorHAnsi"/>
          <w:color w:val="000000" w:themeColor="text1"/>
          <w:sz w:val="23"/>
          <w:szCs w:val="23"/>
        </w:rPr>
        <w:t>Insert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, VT to 500 mK (</w:t>
      </w:r>
      <w:r w:rsidR="005F7DD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Prof. 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Kate Ross, Physics)</w:t>
      </w:r>
    </w:p>
    <w:p w14:paraId="3A2D016F" w14:textId="77777777" w:rsidR="0069393A" w:rsidRDefault="0069393A" w:rsidP="009C6B43">
      <w:pPr>
        <w:spacing w:before="120" w:after="120"/>
        <w:rPr>
          <w:rFonts w:asciiTheme="minorHAnsi" w:hAnsiTheme="minorHAnsi" w:cstheme="minorHAnsi"/>
          <w:b/>
          <w:color w:val="000000" w:themeColor="text1"/>
        </w:rPr>
      </w:pPr>
    </w:p>
    <w:p w14:paraId="0C4F417B" w14:textId="2A37CFD6" w:rsidR="00D968DC" w:rsidRPr="007C2433" w:rsidRDefault="00D968DC" w:rsidP="009C6B43">
      <w:pPr>
        <w:spacing w:before="120" w:after="120"/>
        <w:rPr>
          <w:rFonts w:asciiTheme="minorHAnsi" w:hAnsiTheme="minorHAnsi" w:cstheme="minorHAnsi"/>
          <w:b/>
          <w:color w:val="000000" w:themeColor="text1"/>
        </w:rPr>
      </w:pPr>
      <w:r w:rsidRPr="007C2433">
        <w:rPr>
          <w:rFonts w:asciiTheme="minorHAnsi" w:hAnsiTheme="minorHAnsi" w:cstheme="minorHAnsi"/>
          <w:b/>
          <w:color w:val="000000" w:themeColor="text1"/>
        </w:rPr>
        <w:t>Thermal Analysis</w:t>
      </w:r>
    </w:p>
    <w:p w14:paraId="23612ADB" w14:textId="77777777" w:rsidR="00266596" w:rsidRPr="007C2433" w:rsidRDefault="00266596" w:rsidP="0072293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TA Modulated DSC 2500 with sub-ambient accessory and multi-position sample holder.</w:t>
      </w:r>
    </w:p>
    <w:p w14:paraId="0A99DE32" w14:textId="69E284C0" w:rsidR="00266596" w:rsidRDefault="00266596" w:rsidP="00722931">
      <w:pPr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TA TGA Q500 Thermogravimetric analyzer measures thermal stability</w:t>
      </w:r>
      <w:r w:rsidR="00D3248B">
        <w:rPr>
          <w:rFonts w:asciiTheme="minorHAnsi" w:hAnsiTheme="minorHAnsi" w:cstheme="minorHAnsi"/>
          <w:color w:val="000000" w:themeColor="text1"/>
          <w:sz w:val="23"/>
          <w:szCs w:val="23"/>
        </w:rPr>
        <w:t>, multi position sample holder for measurements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from ambient up to 900ºC.</w:t>
      </w:r>
    </w:p>
    <w:p w14:paraId="44C50608" w14:textId="77777777" w:rsidR="007C2433" w:rsidRPr="007C2433" w:rsidRDefault="007C2433" w:rsidP="007C2433">
      <w:pPr>
        <w:ind w:left="360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3FC523A7" w14:textId="08F5A599" w:rsidR="00D968DC" w:rsidRPr="007C2433" w:rsidRDefault="00D968DC" w:rsidP="009C6B43">
      <w:pPr>
        <w:spacing w:before="120" w:after="120"/>
        <w:rPr>
          <w:rFonts w:asciiTheme="minorHAnsi" w:hAnsiTheme="minorHAnsi" w:cstheme="minorHAnsi"/>
          <w:b/>
          <w:color w:val="000000" w:themeColor="text1"/>
        </w:rPr>
      </w:pPr>
      <w:r w:rsidRPr="007C2433">
        <w:rPr>
          <w:rFonts w:asciiTheme="minorHAnsi" w:hAnsiTheme="minorHAnsi" w:cstheme="minorHAnsi"/>
          <w:b/>
          <w:color w:val="000000" w:themeColor="text1"/>
        </w:rPr>
        <w:t>X-ray Science</w:t>
      </w:r>
    </w:p>
    <w:p w14:paraId="46F7A1B5" w14:textId="3E90A89F" w:rsidR="000F22EE" w:rsidRPr="007C2433" w:rsidRDefault="000F22EE" w:rsidP="00722931">
      <w:pPr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Bruker D8 Discover</w:t>
      </w:r>
      <w:r w:rsidR="00986B19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Series II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Diffractometer with Parabolic Göbel mirror for parallel and monochromatic beam, ¼-circle Eulerian cradle, Equipped with 4-Bounce monochromator capable of HRXRD, XRR and GAXRD.</w:t>
      </w:r>
    </w:p>
    <w:p w14:paraId="7AD5E5B2" w14:textId="19CD1684" w:rsidR="00014028" w:rsidRPr="007C2433" w:rsidRDefault="00014028" w:rsidP="00722931">
      <w:pPr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Bruker D8 Discover – DAVINCI with Flip-Stick sample stage, Lynx-Eye Detector, Diffrac</w:t>
      </w:r>
      <w:r w:rsidR="00986B19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EVA, TOPAS and other software for powder XRD, adaptable for</w:t>
      </w:r>
      <w:r w:rsidR="003E75B1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VT experiments with Anton Parr HTK1200N stage.</w:t>
      </w:r>
    </w:p>
    <w:p w14:paraId="7BB7A40B" w14:textId="70C85410" w:rsidR="00014028" w:rsidRPr="007C2433" w:rsidRDefault="00014028" w:rsidP="00722931">
      <w:pPr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lastRenderedPageBreak/>
        <w:t>Bruker D8 Discover</w:t>
      </w:r>
      <w:r w:rsidR="00D67F7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Series II 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– theta-theta mode, Göbel mirror</w:t>
      </w:r>
      <w:r w:rsidR="00D67F7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or Bragg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, Cu radiation, Lynx-Eye detector upgrade</w:t>
      </w:r>
    </w:p>
    <w:p w14:paraId="10681CB7" w14:textId="77777777" w:rsidR="000F22EE" w:rsidRPr="007C2433" w:rsidRDefault="000F22EE" w:rsidP="00722931">
      <w:pPr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Bruker APEXII single-crystal diffraction system.</w:t>
      </w:r>
    </w:p>
    <w:p w14:paraId="05224524" w14:textId="209F05A9" w:rsidR="000F22EE" w:rsidRPr="007C2433" w:rsidRDefault="000F22EE" w:rsidP="00722931">
      <w:pPr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Rigaku </w:t>
      </w:r>
      <w:r w:rsidR="00D67F7A">
        <w:rPr>
          <w:rFonts w:asciiTheme="minorHAnsi" w:hAnsiTheme="minorHAnsi" w:cstheme="minorHAnsi"/>
          <w:color w:val="000000" w:themeColor="text1"/>
          <w:sz w:val="23"/>
          <w:szCs w:val="23"/>
        </w:rPr>
        <w:t>Small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Angle X-ray Scattering</w:t>
      </w:r>
      <w:r w:rsidR="00E977E5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with Cu rotating anode and MicroMax-007HF</w:t>
      </w:r>
    </w:p>
    <w:p w14:paraId="370C35B8" w14:textId="14CA5AB1" w:rsidR="00266596" w:rsidRPr="007C2433" w:rsidRDefault="00266596" w:rsidP="0072293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Bruker D8 Quest Single Crystal XRD with fixed CHI, Photon 50, sealed Mo tube, Triumph monochromator and motorized track.</w:t>
      </w:r>
    </w:p>
    <w:p w14:paraId="320600E8" w14:textId="05376A3D" w:rsidR="001A2DF3" w:rsidRPr="007C2433" w:rsidRDefault="001A2DF3" w:rsidP="001A2DF3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29AA32D2" w14:textId="13D077BA" w:rsidR="001A2DF3" w:rsidRPr="007C2433" w:rsidRDefault="001A2DF3" w:rsidP="007C2433">
      <w:pPr>
        <w:spacing w:before="120" w:after="120"/>
        <w:rPr>
          <w:rFonts w:asciiTheme="minorHAnsi" w:hAnsiTheme="minorHAnsi" w:cstheme="minorHAnsi"/>
          <w:b/>
          <w:bCs/>
          <w:color w:val="000000" w:themeColor="text1"/>
        </w:rPr>
      </w:pPr>
      <w:r w:rsidRPr="007C2433">
        <w:rPr>
          <w:rFonts w:asciiTheme="minorHAnsi" w:hAnsiTheme="minorHAnsi" w:cstheme="minorHAnsi"/>
          <w:b/>
          <w:bCs/>
          <w:color w:val="000000" w:themeColor="text1"/>
        </w:rPr>
        <w:t>Helium Recovery</w:t>
      </w:r>
    </w:p>
    <w:p w14:paraId="2597F278" w14:textId="47CBB460" w:rsidR="001A2DF3" w:rsidRPr="007C2433" w:rsidRDefault="001A2DF3" w:rsidP="0072293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Quantum Design ATP30 Helium Purifier and ATL160 Helium Liquifier </w:t>
      </w:r>
      <w:r w:rsidR="00D3248B">
        <w:rPr>
          <w:rFonts w:asciiTheme="minorHAnsi" w:hAnsiTheme="minorHAnsi" w:cstheme="minorHAnsi"/>
          <w:color w:val="000000" w:themeColor="text1"/>
          <w:sz w:val="23"/>
          <w:szCs w:val="23"/>
        </w:rPr>
        <w:t>–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D3248B">
        <w:rPr>
          <w:rFonts w:asciiTheme="minorHAnsi" w:hAnsiTheme="minorHAnsi" w:cstheme="minorHAnsi"/>
          <w:color w:val="000000" w:themeColor="text1"/>
          <w:sz w:val="23"/>
          <w:szCs w:val="23"/>
        </w:rPr>
        <w:t>high pressure recovery system</w:t>
      </w:r>
      <w:r w:rsidR="00C558E6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, auxiliary storage components provide for 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>approximately 2</w:t>
      </w:r>
      <w:r w:rsidR="00D3248B">
        <w:rPr>
          <w:rFonts w:asciiTheme="minorHAnsi" w:hAnsiTheme="minorHAnsi" w:cstheme="minorHAnsi"/>
          <w:color w:val="000000" w:themeColor="text1"/>
          <w:sz w:val="23"/>
          <w:szCs w:val="23"/>
        </w:rPr>
        <w:t>5</w:t>
      </w:r>
      <w:r w:rsidRPr="007C243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liter per day of liquid</w:t>
      </w:r>
      <w:r w:rsidR="00C558E6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</w:p>
    <w:p w14:paraId="12CF4C42" w14:textId="77777777" w:rsidR="001A2DF3" w:rsidRDefault="001A2DF3" w:rsidP="001A2DF3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33E3EA89" w14:textId="77777777" w:rsidR="00D51078" w:rsidRPr="00CB5B25" w:rsidRDefault="00D51078">
      <w:pPr>
        <w:rPr>
          <w:rFonts w:asciiTheme="minorHAnsi" w:hAnsiTheme="minorHAnsi" w:cstheme="minorHAnsi"/>
        </w:rPr>
      </w:pPr>
    </w:p>
    <w:p w14:paraId="7AEE1FFD" w14:textId="7A50C6F5" w:rsidR="00696EB4" w:rsidRDefault="00696EB4" w:rsidP="00696EB4">
      <w:pPr>
        <w:pStyle w:val="Heading2"/>
        <w:rPr>
          <w:rFonts w:asciiTheme="minorHAnsi" w:hAnsiTheme="minorHAnsi" w:cstheme="minorHAnsi"/>
          <w:sz w:val="36"/>
          <w:szCs w:val="36"/>
        </w:rPr>
      </w:pPr>
      <w:r w:rsidRPr="009C6B43">
        <w:rPr>
          <w:rFonts w:asciiTheme="minorHAnsi" w:hAnsiTheme="minorHAnsi" w:cstheme="minorHAnsi"/>
          <w:sz w:val="36"/>
          <w:szCs w:val="36"/>
        </w:rPr>
        <w:t>Staf</w:t>
      </w:r>
      <w:r w:rsidR="00784391">
        <w:rPr>
          <w:rFonts w:asciiTheme="minorHAnsi" w:hAnsiTheme="minorHAnsi" w:cstheme="minorHAnsi"/>
          <w:sz w:val="36"/>
          <w:szCs w:val="36"/>
        </w:rPr>
        <w:t>f</w:t>
      </w:r>
    </w:p>
    <w:p w14:paraId="147B0883" w14:textId="77777777" w:rsidR="009C6B43" w:rsidRPr="009C6B43" w:rsidRDefault="009C6B43" w:rsidP="009C6B43"/>
    <w:p w14:paraId="7886C937" w14:textId="0ABC36B5" w:rsidR="00E34DD2" w:rsidRPr="00CB5B25" w:rsidRDefault="00E34DD2">
      <w:pPr>
        <w:rPr>
          <w:rFonts w:asciiTheme="minorHAnsi" w:hAnsiTheme="minorHAnsi" w:cstheme="minorHAnsi"/>
        </w:rPr>
      </w:pPr>
      <w:r w:rsidRPr="00CB5B25">
        <w:rPr>
          <w:rFonts w:asciiTheme="minorHAnsi" w:hAnsiTheme="minorHAnsi" w:cstheme="minorHAnsi"/>
          <w:b/>
        </w:rPr>
        <w:t xml:space="preserve">Staff Scientists </w:t>
      </w:r>
      <w:r w:rsidRPr="00CB5B25">
        <w:rPr>
          <w:rFonts w:asciiTheme="minorHAnsi" w:hAnsiTheme="minorHAnsi" w:cstheme="minorHAnsi"/>
        </w:rPr>
        <w:t xml:space="preserve">– </w:t>
      </w:r>
      <w:r w:rsidR="009C6B43">
        <w:rPr>
          <w:rFonts w:asciiTheme="minorHAnsi" w:hAnsiTheme="minorHAnsi" w:cstheme="minorHAnsi"/>
        </w:rPr>
        <w:t>five</w:t>
      </w:r>
      <w:r w:rsidRPr="00CB5B25">
        <w:rPr>
          <w:rFonts w:asciiTheme="minorHAnsi" w:hAnsiTheme="minorHAnsi" w:cstheme="minorHAnsi"/>
        </w:rPr>
        <w:t xml:space="preserve"> </w:t>
      </w:r>
      <w:r w:rsidR="004E2A6C" w:rsidRPr="00CB5B25">
        <w:rPr>
          <w:rFonts w:asciiTheme="minorHAnsi" w:hAnsiTheme="minorHAnsi" w:cstheme="minorHAnsi"/>
        </w:rPr>
        <w:t xml:space="preserve">full-time </w:t>
      </w:r>
      <w:r w:rsidRPr="00CB5B25">
        <w:rPr>
          <w:rFonts w:asciiTheme="minorHAnsi" w:hAnsiTheme="minorHAnsi" w:cstheme="minorHAnsi"/>
        </w:rPr>
        <w:t>PhD scientists cover all major instruments</w:t>
      </w:r>
      <w:r w:rsidR="00366931" w:rsidRPr="00CB5B25">
        <w:rPr>
          <w:rFonts w:asciiTheme="minorHAnsi" w:hAnsiTheme="minorHAnsi" w:cstheme="minorHAnsi"/>
        </w:rPr>
        <w:t>, chemistry, engineering and life science disciplines</w:t>
      </w:r>
      <w:r w:rsidRPr="00CB5B25">
        <w:rPr>
          <w:rFonts w:asciiTheme="minorHAnsi" w:hAnsiTheme="minorHAnsi" w:cstheme="minorHAnsi"/>
        </w:rPr>
        <w:t>, provide expertise for student training and full collaborations</w:t>
      </w:r>
      <w:r w:rsidR="00413F4F" w:rsidRPr="00CB5B25">
        <w:rPr>
          <w:rFonts w:asciiTheme="minorHAnsi" w:hAnsiTheme="minorHAnsi" w:cstheme="minorHAnsi"/>
        </w:rPr>
        <w:t xml:space="preserve"> as may be needed or desired</w:t>
      </w:r>
      <w:r w:rsidRPr="00CB5B25">
        <w:rPr>
          <w:rFonts w:asciiTheme="minorHAnsi" w:hAnsiTheme="minorHAnsi" w:cstheme="minorHAnsi"/>
        </w:rPr>
        <w:t>.</w:t>
      </w:r>
    </w:p>
    <w:p w14:paraId="2BEA6492" w14:textId="7C6F9952" w:rsidR="004E2A6C" w:rsidRPr="00CB5B25" w:rsidRDefault="004E2A6C">
      <w:pPr>
        <w:rPr>
          <w:rFonts w:asciiTheme="minorHAnsi" w:hAnsiTheme="minorHAnsi" w:cstheme="minorHAnsi"/>
        </w:rPr>
      </w:pPr>
      <w:r w:rsidRPr="00CB5B25">
        <w:rPr>
          <w:rFonts w:asciiTheme="minorHAnsi" w:hAnsiTheme="minorHAnsi" w:cstheme="minorHAnsi"/>
          <w:b/>
        </w:rPr>
        <w:t>Post-Doctoral Research Associates</w:t>
      </w:r>
      <w:r w:rsidRPr="00CB5B25">
        <w:rPr>
          <w:rFonts w:asciiTheme="minorHAnsi" w:hAnsiTheme="minorHAnsi" w:cstheme="minorHAnsi"/>
        </w:rPr>
        <w:t xml:space="preserve"> – one </w:t>
      </w:r>
      <w:r w:rsidR="00A52355" w:rsidRPr="00CB5B25">
        <w:rPr>
          <w:rFonts w:asciiTheme="minorHAnsi" w:hAnsiTheme="minorHAnsi" w:cstheme="minorHAnsi"/>
        </w:rPr>
        <w:t xml:space="preserve">temporary </w:t>
      </w:r>
      <w:r w:rsidRPr="00CB5B25">
        <w:rPr>
          <w:rFonts w:asciiTheme="minorHAnsi" w:hAnsiTheme="minorHAnsi" w:cstheme="minorHAnsi"/>
        </w:rPr>
        <w:t xml:space="preserve">post-doc </w:t>
      </w:r>
      <w:r w:rsidR="00A52355" w:rsidRPr="00CB5B25">
        <w:rPr>
          <w:rFonts w:asciiTheme="minorHAnsi" w:hAnsiTheme="minorHAnsi" w:cstheme="minorHAnsi"/>
        </w:rPr>
        <w:t>assignment at</w:t>
      </w:r>
      <w:r w:rsidRPr="00CB5B25">
        <w:rPr>
          <w:rFonts w:asciiTheme="minorHAnsi" w:hAnsiTheme="minorHAnsi" w:cstheme="minorHAnsi"/>
        </w:rPr>
        <w:t xml:space="preserve"> fifty percent </w:t>
      </w:r>
      <w:r w:rsidR="00A52355" w:rsidRPr="00CB5B25">
        <w:rPr>
          <w:rFonts w:asciiTheme="minorHAnsi" w:hAnsiTheme="minorHAnsi" w:cstheme="minorHAnsi"/>
        </w:rPr>
        <w:t xml:space="preserve">level </w:t>
      </w:r>
      <w:r w:rsidRPr="00CB5B25">
        <w:rPr>
          <w:rFonts w:asciiTheme="minorHAnsi" w:hAnsiTheme="minorHAnsi" w:cstheme="minorHAnsi"/>
        </w:rPr>
        <w:t xml:space="preserve">to the </w:t>
      </w:r>
      <w:r w:rsidR="009C6B43">
        <w:rPr>
          <w:rFonts w:asciiTheme="minorHAnsi" w:hAnsiTheme="minorHAnsi" w:cstheme="minorHAnsi"/>
        </w:rPr>
        <w:t>MMA</w:t>
      </w:r>
      <w:r w:rsidRPr="00CB5B25">
        <w:rPr>
          <w:rFonts w:asciiTheme="minorHAnsi" w:hAnsiTheme="minorHAnsi" w:cstheme="minorHAnsi"/>
        </w:rPr>
        <w:t xml:space="preserve"> is desirable</w:t>
      </w:r>
      <w:r w:rsidR="00A52355" w:rsidRPr="00CB5B25">
        <w:rPr>
          <w:rFonts w:asciiTheme="minorHAnsi" w:hAnsiTheme="minorHAnsi" w:cstheme="minorHAnsi"/>
        </w:rPr>
        <w:t xml:space="preserve"> where need is </w:t>
      </w:r>
      <w:r w:rsidR="009C6B43" w:rsidRPr="00CB5B25">
        <w:rPr>
          <w:rFonts w:asciiTheme="minorHAnsi" w:hAnsiTheme="minorHAnsi" w:cstheme="minorHAnsi"/>
        </w:rPr>
        <w:t>demonstrated,</w:t>
      </w:r>
      <w:r w:rsidR="00A52355" w:rsidRPr="00CB5B25">
        <w:rPr>
          <w:rFonts w:asciiTheme="minorHAnsi" w:hAnsiTheme="minorHAnsi" w:cstheme="minorHAnsi"/>
        </w:rPr>
        <w:t xml:space="preserve"> and funding becomes available.</w:t>
      </w:r>
    </w:p>
    <w:p w14:paraId="48C2947B" w14:textId="569129E6" w:rsidR="004E2A6C" w:rsidRPr="00CB5B25" w:rsidRDefault="004E2A6C">
      <w:pPr>
        <w:rPr>
          <w:rFonts w:asciiTheme="minorHAnsi" w:hAnsiTheme="minorHAnsi" w:cstheme="minorHAnsi"/>
        </w:rPr>
      </w:pPr>
      <w:r w:rsidRPr="00CB5B25">
        <w:rPr>
          <w:rFonts w:asciiTheme="minorHAnsi" w:hAnsiTheme="minorHAnsi" w:cstheme="minorHAnsi"/>
          <w:b/>
        </w:rPr>
        <w:t>Graduate Research Assistants</w:t>
      </w:r>
      <w:r w:rsidRPr="00CB5B25">
        <w:rPr>
          <w:rFonts w:asciiTheme="minorHAnsi" w:hAnsiTheme="minorHAnsi" w:cstheme="minorHAnsi"/>
        </w:rPr>
        <w:t xml:space="preserve"> – two or three graduate student teaching</w:t>
      </w:r>
      <w:r w:rsidR="009C6B43">
        <w:rPr>
          <w:rFonts w:asciiTheme="minorHAnsi" w:hAnsiTheme="minorHAnsi" w:cstheme="minorHAnsi"/>
        </w:rPr>
        <w:t>/research</w:t>
      </w:r>
      <w:r w:rsidRPr="00CB5B25">
        <w:rPr>
          <w:rFonts w:asciiTheme="minorHAnsi" w:hAnsiTheme="minorHAnsi" w:cstheme="minorHAnsi"/>
        </w:rPr>
        <w:t xml:space="preserve"> assistants are assigned to </w:t>
      </w:r>
      <w:r w:rsidR="003D08DE">
        <w:rPr>
          <w:rFonts w:asciiTheme="minorHAnsi" w:hAnsiTheme="minorHAnsi" w:cstheme="minorHAnsi"/>
        </w:rPr>
        <w:t>MMA</w:t>
      </w:r>
      <w:r w:rsidRPr="00CB5B25">
        <w:rPr>
          <w:rFonts w:asciiTheme="minorHAnsi" w:hAnsiTheme="minorHAnsi" w:cstheme="minorHAnsi"/>
        </w:rPr>
        <w:t xml:space="preserve"> laboratories via collaborative opportunities provided by Chemistry</w:t>
      </w:r>
      <w:r w:rsidR="003D08DE">
        <w:rPr>
          <w:rFonts w:asciiTheme="minorHAnsi" w:hAnsiTheme="minorHAnsi" w:cstheme="minorHAnsi"/>
        </w:rPr>
        <w:t>, OVPR</w:t>
      </w:r>
      <w:r w:rsidRPr="00CB5B25">
        <w:rPr>
          <w:rFonts w:asciiTheme="minorHAnsi" w:hAnsiTheme="minorHAnsi" w:cstheme="minorHAnsi"/>
        </w:rPr>
        <w:t xml:space="preserve"> and SAMD.  These students </w:t>
      </w:r>
      <w:r w:rsidR="00A52355" w:rsidRPr="00CB5B25">
        <w:rPr>
          <w:rFonts w:asciiTheme="minorHAnsi" w:hAnsiTheme="minorHAnsi" w:cstheme="minorHAnsi"/>
        </w:rPr>
        <w:t xml:space="preserve">receive advanced training in the instrument arts, </w:t>
      </w:r>
      <w:r w:rsidRPr="00CB5B25">
        <w:rPr>
          <w:rFonts w:asciiTheme="minorHAnsi" w:hAnsiTheme="minorHAnsi" w:cstheme="minorHAnsi"/>
        </w:rPr>
        <w:t xml:space="preserve">are involved in all aspects of the </w:t>
      </w:r>
      <w:r w:rsidR="009D3545">
        <w:rPr>
          <w:rFonts w:asciiTheme="minorHAnsi" w:hAnsiTheme="minorHAnsi" w:cstheme="minorHAnsi"/>
        </w:rPr>
        <w:t>MMA</w:t>
      </w:r>
      <w:r w:rsidRPr="00CB5B25">
        <w:rPr>
          <w:rFonts w:asciiTheme="minorHAnsi" w:hAnsiTheme="minorHAnsi" w:cstheme="minorHAnsi"/>
        </w:rPr>
        <w:t xml:space="preserve"> laboratory including teaching, training, assisting with classroom labs and demonstrations, instrument maintenance and method development</w:t>
      </w:r>
    </w:p>
    <w:p w14:paraId="2488FE56" w14:textId="2A011871" w:rsidR="004E2A6C" w:rsidRPr="00CB5B25" w:rsidRDefault="003D08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Undergraduate </w:t>
      </w:r>
      <w:r w:rsidR="004E2A6C" w:rsidRPr="00CB5B25">
        <w:rPr>
          <w:rFonts w:asciiTheme="minorHAnsi" w:hAnsiTheme="minorHAnsi" w:cstheme="minorHAnsi"/>
          <w:b/>
        </w:rPr>
        <w:t>Student Interns</w:t>
      </w:r>
      <w:r w:rsidR="004E2A6C" w:rsidRPr="00CB5B25">
        <w:rPr>
          <w:rFonts w:asciiTheme="minorHAnsi" w:hAnsiTheme="minorHAnsi" w:cstheme="minorHAnsi"/>
        </w:rPr>
        <w:t xml:space="preserve"> – three to five undergraduate student hourly employees</w:t>
      </w:r>
      <w:r w:rsidR="00A52355" w:rsidRPr="00CB5B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for-credit internships from the Chemistry department </w:t>
      </w:r>
      <w:r w:rsidR="00A52355" w:rsidRPr="00CB5B25">
        <w:rPr>
          <w:rFonts w:asciiTheme="minorHAnsi" w:hAnsiTheme="minorHAnsi" w:cstheme="minorHAnsi"/>
        </w:rPr>
        <w:t>that receive training and experience in laboratory operations</w:t>
      </w:r>
      <w:r>
        <w:rPr>
          <w:rFonts w:asciiTheme="minorHAnsi" w:hAnsiTheme="minorHAnsi" w:cstheme="minorHAnsi"/>
        </w:rPr>
        <w:t xml:space="preserve"> and professional development around team science and soft skills</w:t>
      </w:r>
      <w:r w:rsidR="00A52355" w:rsidRPr="00CB5B25">
        <w:rPr>
          <w:rFonts w:asciiTheme="minorHAnsi" w:hAnsiTheme="minorHAnsi" w:cstheme="minorHAnsi"/>
        </w:rPr>
        <w:t>.  Many of these students become very proficient in sample preparation, instrument operation and basic maintenance.</w:t>
      </w:r>
    </w:p>
    <w:p w14:paraId="3D12D1F3" w14:textId="5A191019" w:rsidR="004E2A6C" w:rsidRPr="00CB5B25" w:rsidRDefault="00A52355">
      <w:pPr>
        <w:rPr>
          <w:rFonts w:asciiTheme="minorHAnsi" w:hAnsiTheme="minorHAnsi" w:cstheme="minorHAnsi"/>
        </w:rPr>
      </w:pPr>
      <w:r w:rsidRPr="00CB5B25">
        <w:rPr>
          <w:rFonts w:asciiTheme="minorHAnsi" w:hAnsiTheme="minorHAnsi" w:cstheme="minorHAnsi"/>
          <w:b/>
        </w:rPr>
        <w:t>Business and Office Management</w:t>
      </w:r>
      <w:r w:rsidRPr="00CB5B25">
        <w:rPr>
          <w:rFonts w:asciiTheme="minorHAnsi" w:hAnsiTheme="minorHAnsi" w:cstheme="minorHAnsi"/>
        </w:rPr>
        <w:t xml:space="preserve"> – the </w:t>
      </w:r>
      <w:r w:rsidR="009C6B43">
        <w:rPr>
          <w:rFonts w:asciiTheme="minorHAnsi" w:hAnsiTheme="minorHAnsi" w:cstheme="minorHAnsi"/>
        </w:rPr>
        <w:t>MMA</w:t>
      </w:r>
      <w:r w:rsidRPr="00CB5B25">
        <w:rPr>
          <w:rFonts w:asciiTheme="minorHAnsi" w:hAnsiTheme="minorHAnsi" w:cstheme="minorHAnsi"/>
        </w:rPr>
        <w:t xml:space="preserve"> is aided by one full-time-equivalent business manager, </w:t>
      </w:r>
      <w:r w:rsidR="009C6B43">
        <w:rPr>
          <w:rFonts w:asciiTheme="minorHAnsi" w:hAnsiTheme="minorHAnsi" w:cstheme="minorHAnsi"/>
        </w:rPr>
        <w:t>in charge of</w:t>
      </w:r>
      <w:r w:rsidRPr="00CB5B25">
        <w:rPr>
          <w:rFonts w:asciiTheme="minorHAnsi" w:hAnsiTheme="minorHAnsi" w:cstheme="minorHAnsi"/>
        </w:rPr>
        <w:t xml:space="preserve"> </w:t>
      </w:r>
      <w:r w:rsidR="009C6B43">
        <w:rPr>
          <w:rFonts w:asciiTheme="minorHAnsi" w:hAnsiTheme="minorHAnsi" w:cstheme="minorHAnsi"/>
        </w:rPr>
        <w:t xml:space="preserve">CORE </w:t>
      </w:r>
      <w:r w:rsidRPr="00CB5B25">
        <w:rPr>
          <w:rFonts w:asciiTheme="minorHAnsi" w:hAnsiTheme="minorHAnsi" w:cstheme="minorHAnsi"/>
        </w:rPr>
        <w:t xml:space="preserve">business </w:t>
      </w:r>
      <w:r w:rsidR="009C6B43">
        <w:rPr>
          <w:rFonts w:asciiTheme="minorHAnsi" w:hAnsiTheme="minorHAnsi" w:cstheme="minorHAnsi"/>
        </w:rPr>
        <w:t>management, recharge center</w:t>
      </w:r>
      <w:r w:rsidRPr="00CB5B25">
        <w:rPr>
          <w:rFonts w:asciiTheme="minorHAnsi" w:hAnsiTheme="minorHAnsi" w:cstheme="minorHAnsi"/>
        </w:rPr>
        <w:t xml:space="preserve"> cost-accounting</w:t>
      </w:r>
      <w:r w:rsidR="009C6B43">
        <w:rPr>
          <w:rFonts w:asciiTheme="minorHAnsi" w:hAnsiTheme="minorHAnsi" w:cstheme="minorHAnsi"/>
        </w:rPr>
        <w:t>, and grant proposal pre-and post-award management</w:t>
      </w:r>
      <w:r w:rsidRPr="00CB5B25">
        <w:rPr>
          <w:rFonts w:asciiTheme="minorHAnsi" w:hAnsiTheme="minorHAnsi" w:cstheme="minorHAnsi"/>
        </w:rPr>
        <w:t>.</w:t>
      </w:r>
    </w:p>
    <w:p w14:paraId="6FCB5FED" w14:textId="77777777" w:rsidR="00696EB4" w:rsidRPr="00CB5B25" w:rsidRDefault="00696EB4">
      <w:pPr>
        <w:rPr>
          <w:rFonts w:asciiTheme="minorHAnsi" w:hAnsiTheme="minorHAnsi" w:cstheme="minorHAnsi"/>
        </w:rPr>
      </w:pPr>
    </w:p>
    <w:p w14:paraId="7D83049A" w14:textId="0469AB70" w:rsidR="00696EB4" w:rsidRPr="009C6B43" w:rsidRDefault="009C6B43" w:rsidP="00696EB4">
      <w:pPr>
        <w:pStyle w:val="Heading2"/>
        <w:rPr>
          <w:rFonts w:asciiTheme="minorHAnsi" w:hAnsiTheme="minorHAnsi" w:cstheme="minorHAnsi"/>
          <w:sz w:val="36"/>
          <w:szCs w:val="36"/>
        </w:rPr>
      </w:pPr>
      <w:r w:rsidRPr="009C6B43">
        <w:rPr>
          <w:rFonts w:asciiTheme="minorHAnsi" w:hAnsiTheme="minorHAnsi" w:cstheme="minorHAnsi"/>
          <w:sz w:val="36"/>
          <w:szCs w:val="36"/>
        </w:rPr>
        <w:t xml:space="preserve">Facilities </w:t>
      </w:r>
    </w:p>
    <w:p w14:paraId="342D74A1" w14:textId="77777777" w:rsidR="00E247EE" w:rsidRPr="00CB5B25" w:rsidRDefault="00E247EE" w:rsidP="00696EB4">
      <w:pPr>
        <w:rPr>
          <w:rFonts w:asciiTheme="minorHAnsi" w:hAnsiTheme="minorHAnsi" w:cstheme="minorHAnsi"/>
          <w:b/>
        </w:rPr>
      </w:pPr>
    </w:p>
    <w:p w14:paraId="63B29B72" w14:textId="54A5399D" w:rsidR="00E247EE" w:rsidRPr="00CB5B25" w:rsidRDefault="00E247EE" w:rsidP="00696EB4">
      <w:pPr>
        <w:rPr>
          <w:rFonts w:asciiTheme="minorHAnsi" w:hAnsiTheme="minorHAnsi" w:cstheme="minorHAnsi"/>
          <w:b/>
          <w:i/>
          <w:u w:val="single"/>
        </w:rPr>
      </w:pPr>
      <w:r w:rsidRPr="003D08DE">
        <w:rPr>
          <w:rFonts w:asciiTheme="minorHAnsi" w:hAnsiTheme="minorHAnsi" w:cstheme="minorHAnsi"/>
          <w:b/>
          <w:i/>
          <w:color w:val="000000" w:themeColor="text1"/>
          <w:u w:val="single"/>
        </w:rPr>
        <w:t xml:space="preserve">Approximately </w:t>
      </w:r>
      <w:r w:rsidR="003D08DE" w:rsidRPr="003D08DE">
        <w:rPr>
          <w:rFonts w:asciiTheme="minorHAnsi" w:hAnsiTheme="minorHAnsi" w:cstheme="minorHAnsi"/>
          <w:b/>
          <w:i/>
          <w:color w:val="000000" w:themeColor="text1"/>
          <w:u w:val="single"/>
        </w:rPr>
        <w:t>8150</w:t>
      </w:r>
      <w:r w:rsidRPr="003D08DE">
        <w:rPr>
          <w:rFonts w:asciiTheme="minorHAnsi" w:hAnsiTheme="minorHAnsi" w:cstheme="minorHAnsi"/>
          <w:b/>
          <w:i/>
          <w:color w:val="000000" w:themeColor="text1"/>
          <w:u w:val="single"/>
        </w:rPr>
        <w:t xml:space="preserve"> square </w:t>
      </w:r>
      <w:r w:rsidRPr="00CB5B25">
        <w:rPr>
          <w:rFonts w:asciiTheme="minorHAnsi" w:hAnsiTheme="minorHAnsi" w:cstheme="minorHAnsi"/>
          <w:b/>
          <w:i/>
          <w:u w:val="single"/>
        </w:rPr>
        <w:t xml:space="preserve">feet of space is assigned to the </w:t>
      </w:r>
      <w:r w:rsidR="009C6B43">
        <w:rPr>
          <w:rFonts w:asciiTheme="minorHAnsi" w:hAnsiTheme="minorHAnsi" w:cstheme="minorHAnsi"/>
          <w:b/>
          <w:i/>
          <w:u w:val="single"/>
        </w:rPr>
        <w:t>MMA</w:t>
      </w:r>
    </w:p>
    <w:p w14:paraId="2553531C" w14:textId="77777777" w:rsidR="00E247EE" w:rsidRPr="00CB5B25" w:rsidRDefault="00E247EE" w:rsidP="00696EB4">
      <w:pPr>
        <w:rPr>
          <w:rFonts w:asciiTheme="minorHAnsi" w:hAnsiTheme="minorHAnsi" w:cstheme="minorHAnsi"/>
          <w:b/>
        </w:rPr>
      </w:pPr>
    </w:p>
    <w:p w14:paraId="23F6B539" w14:textId="36879962" w:rsidR="003614AF" w:rsidRPr="00CB5B25" w:rsidRDefault="00F043C6" w:rsidP="00696EB4">
      <w:pPr>
        <w:rPr>
          <w:rFonts w:asciiTheme="minorHAnsi" w:hAnsiTheme="minorHAnsi" w:cstheme="minorHAnsi"/>
        </w:rPr>
      </w:pPr>
      <w:r w:rsidRPr="00CB5B25">
        <w:rPr>
          <w:rFonts w:asciiTheme="minorHAnsi" w:hAnsiTheme="minorHAnsi" w:cstheme="minorHAnsi"/>
          <w:b/>
        </w:rPr>
        <w:t>Chemistry Main Basement Laboratory</w:t>
      </w:r>
      <w:r w:rsidRPr="00CB5B25">
        <w:rPr>
          <w:rFonts w:asciiTheme="minorHAnsi" w:hAnsiTheme="minorHAnsi" w:cstheme="minorHAnsi"/>
        </w:rPr>
        <w:t xml:space="preserve">: </w:t>
      </w:r>
      <w:r w:rsidR="003D08DE">
        <w:rPr>
          <w:rFonts w:asciiTheme="minorHAnsi" w:hAnsiTheme="minorHAnsi" w:cstheme="minorHAnsi"/>
        </w:rPr>
        <w:t xml:space="preserve">Total space is </w:t>
      </w:r>
      <w:r w:rsidR="003D08DE" w:rsidRPr="00CB5B25">
        <w:rPr>
          <w:rFonts w:asciiTheme="minorHAnsi" w:hAnsiTheme="minorHAnsi" w:cstheme="minorHAnsi"/>
        </w:rPr>
        <w:t xml:space="preserve">6800 square feet </w:t>
      </w:r>
      <w:r w:rsidR="003D08DE">
        <w:rPr>
          <w:rFonts w:asciiTheme="minorHAnsi" w:hAnsiTheme="minorHAnsi" w:cstheme="minorHAnsi"/>
        </w:rPr>
        <w:t>for</w:t>
      </w:r>
      <w:r w:rsidR="003614AF" w:rsidRPr="00CB5B25">
        <w:rPr>
          <w:rFonts w:asciiTheme="minorHAnsi" w:hAnsiTheme="minorHAnsi" w:cstheme="minorHAnsi"/>
        </w:rPr>
        <w:t xml:space="preserve"> </w:t>
      </w:r>
      <w:r w:rsidR="003D08DE">
        <w:rPr>
          <w:rFonts w:asciiTheme="minorHAnsi" w:hAnsiTheme="minorHAnsi" w:cstheme="minorHAnsi"/>
        </w:rPr>
        <w:t>ARC-MMA</w:t>
      </w:r>
      <w:r w:rsidR="001A7E02">
        <w:rPr>
          <w:rFonts w:asciiTheme="minorHAnsi" w:hAnsiTheme="minorHAnsi" w:cstheme="minorHAnsi"/>
        </w:rPr>
        <w:t xml:space="preserve">. This includes </w:t>
      </w:r>
      <w:r w:rsidR="003614AF" w:rsidRPr="00CB5B25">
        <w:rPr>
          <w:rFonts w:asciiTheme="minorHAnsi" w:hAnsiTheme="minorHAnsi" w:cstheme="minorHAnsi"/>
        </w:rPr>
        <w:t>staff offic</w:t>
      </w:r>
      <w:r w:rsidR="003D08DE">
        <w:rPr>
          <w:rFonts w:asciiTheme="minorHAnsi" w:hAnsiTheme="minorHAnsi" w:cstheme="minorHAnsi"/>
        </w:rPr>
        <w:t>es</w:t>
      </w:r>
      <w:r w:rsidR="00E11C2E">
        <w:rPr>
          <w:rFonts w:asciiTheme="minorHAnsi" w:hAnsiTheme="minorHAnsi" w:cstheme="minorHAnsi"/>
        </w:rPr>
        <w:t xml:space="preserve"> and</w:t>
      </w:r>
      <w:r w:rsidR="00907910" w:rsidRPr="00CB5B25">
        <w:rPr>
          <w:rFonts w:asciiTheme="minorHAnsi" w:hAnsiTheme="minorHAnsi" w:cstheme="minorHAnsi"/>
        </w:rPr>
        <w:t xml:space="preserve"> </w:t>
      </w:r>
      <w:r w:rsidR="00952029" w:rsidRPr="00CB5B25">
        <w:rPr>
          <w:rFonts w:asciiTheme="minorHAnsi" w:hAnsiTheme="minorHAnsi" w:cstheme="minorHAnsi"/>
        </w:rPr>
        <w:t>break area (1200 sq ft of total)</w:t>
      </w:r>
      <w:r w:rsidR="003614AF" w:rsidRPr="00CB5B25">
        <w:rPr>
          <w:rFonts w:asciiTheme="minorHAnsi" w:hAnsiTheme="minorHAnsi" w:cstheme="minorHAnsi"/>
        </w:rPr>
        <w:t xml:space="preserve"> and investigator collaborative area, C1; </w:t>
      </w:r>
      <w:r w:rsidRPr="00CB5B25">
        <w:rPr>
          <w:rFonts w:asciiTheme="minorHAnsi" w:hAnsiTheme="minorHAnsi" w:cstheme="minorHAnsi"/>
        </w:rPr>
        <w:t xml:space="preserve">laboratory equipment </w:t>
      </w:r>
      <w:r w:rsidR="00E11C2E">
        <w:rPr>
          <w:rFonts w:asciiTheme="minorHAnsi" w:hAnsiTheme="minorHAnsi" w:cstheme="minorHAnsi"/>
        </w:rPr>
        <w:t xml:space="preserve">and computer work station </w:t>
      </w:r>
      <w:r w:rsidRPr="00CB5B25">
        <w:rPr>
          <w:rFonts w:asciiTheme="minorHAnsi" w:hAnsiTheme="minorHAnsi" w:cstheme="minorHAnsi"/>
        </w:rPr>
        <w:t>floor space</w:t>
      </w:r>
      <w:r w:rsidR="003614AF" w:rsidRPr="00CB5B25">
        <w:rPr>
          <w:rFonts w:asciiTheme="minorHAnsi" w:hAnsiTheme="minorHAnsi" w:cstheme="minorHAnsi"/>
        </w:rPr>
        <w:t xml:space="preserve"> </w:t>
      </w:r>
      <w:r w:rsidR="00E11C2E">
        <w:rPr>
          <w:rFonts w:asciiTheme="minorHAnsi" w:hAnsiTheme="minorHAnsi" w:cstheme="minorHAnsi"/>
        </w:rPr>
        <w:t xml:space="preserve">in </w:t>
      </w:r>
      <w:r w:rsidR="003614AF" w:rsidRPr="00CB5B25">
        <w:rPr>
          <w:rFonts w:asciiTheme="minorHAnsi" w:hAnsiTheme="minorHAnsi" w:cstheme="minorHAnsi"/>
        </w:rPr>
        <w:t>C2B, C3, C4 and C5</w:t>
      </w:r>
      <w:r w:rsidR="003D08DE">
        <w:rPr>
          <w:rFonts w:asciiTheme="minorHAnsi" w:hAnsiTheme="minorHAnsi" w:cstheme="minorHAnsi"/>
        </w:rPr>
        <w:t xml:space="preserve"> (C5 includes undergraduate student intern office pod)</w:t>
      </w:r>
      <w:r w:rsidR="003614AF" w:rsidRPr="00CB5B25">
        <w:rPr>
          <w:rFonts w:asciiTheme="minorHAnsi" w:hAnsiTheme="minorHAnsi" w:cstheme="minorHAnsi"/>
        </w:rPr>
        <w:t xml:space="preserve">; 400 square foot NMR Lab, C3E; </w:t>
      </w:r>
      <w:r w:rsidRPr="00CB5B25">
        <w:rPr>
          <w:rFonts w:asciiTheme="minorHAnsi" w:hAnsiTheme="minorHAnsi" w:cstheme="minorHAnsi"/>
        </w:rPr>
        <w:t>700 square feet of additional space for project staging</w:t>
      </w:r>
      <w:r w:rsidR="003614AF" w:rsidRPr="00CB5B25">
        <w:rPr>
          <w:rFonts w:asciiTheme="minorHAnsi" w:hAnsiTheme="minorHAnsi" w:cstheme="minorHAnsi"/>
        </w:rPr>
        <w:t>, C2;</w:t>
      </w:r>
      <w:r w:rsidRPr="00CB5B25">
        <w:rPr>
          <w:rFonts w:asciiTheme="minorHAnsi" w:hAnsiTheme="minorHAnsi" w:cstheme="minorHAnsi"/>
        </w:rPr>
        <w:t xml:space="preserve"> </w:t>
      </w:r>
      <w:r w:rsidR="003614AF" w:rsidRPr="00CB5B25">
        <w:rPr>
          <w:rFonts w:asciiTheme="minorHAnsi" w:hAnsiTheme="minorHAnsi" w:cstheme="minorHAnsi"/>
        </w:rPr>
        <w:t>a</w:t>
      </w:r>
      <w:r w:rsidRPr="00CB5B25">
        <w:rPr>
          <w:rFonts w:asciiTheme="minorHAnsi" w:hAnsiTheme="minorHAnsi" w:cstheme="minorHAnsi"/>
        </w:rPr>
        <w:t xml:space="preserve"> 1</w:t>
      </w:r>
      <w:r w:rsidR="001A7E02">
        <w:rPr>
          <w:rFonts w:asciiTheme="minorHAnsi" w:hAnsiTheme="minorHAnsi" w:cstheme="minorHAnsi"/>
        </w:rPr>
        <w:t>5</w:t>
      </w:r>
      <w:r w:rsidRPr="00CB5B25">
        <w:rPr>
          <w:rFonts w:asciiTheme="minorHAnsi" w:hAnsiTheme="minorHAnsi" w:cstheme="minorHAnsi"/>
        </w:rPr>
        <w:t>0 square foot</w:t>
      </w:r>
      <w:r w:rsidR="003614AF" w:rsidRPr="00CB5B25">
        <w:rPr>
          <w:rFonts w:asciiTheme="minorHAnsi" w:hAnsiTheme="minorHAnsi" w:cstheme="minorHAnsi"/>
        </w:rPr>
        <w:t xml:space="preserve"> gender neutral bathroom, C2A.</w:t>
      </w:r>
    </w:p>
    <w:p w14:paraId="7374CD71" w14:textId="66C117B2" w:rsidR="00696EB4" w:rsidRPr="00CB5B25" w:rsidRDefault="003614AF" w:rsidP="00696EB4">
      <w:pPr>
        <w:rPr>
          <w:rFonts w:asciiTheme="minorHAnsi" w:hAnsiTheme="minorHAnsi" w:cstheme="minorHAnsi"/>
        </w:rPr>
      </w:pPr>
      <w:r w:rsidRPr="00CB5B25">
        <w:rPr>
          <w:rFonts w:asciiTheme="minorHAnsi" w:hAnsiTheme="minorHAnsi" w:cstheme="minorHAnsi"/>
        </w:rPr>
        <w:lastRenderedPageBreak/>
        <w:t xml:space="preserve">Equipment found here includes </w:t>
      </w:r>
      <w:r w:rsidR="003D08DE">
        <w:rPr>
          <w:rFonts w:asciiTheme="minorHAnsi" w:hAnsiTheme="minorHAnsi" w:cstheme="minorHAnsi"/>
        </w:rPr>
        <w:t xml:space="preserve">ARC-MMA </w:t>
      </w:r>
      <w:r w:rsidRPr="00CB5B25">
        <w:rPr>
          <w:rFonts w:asciiTheme="minorHAnsi" w:hAnsiTheme="minorHAnsi" w:cstheme="minorHAnsi"/>
        </w:rPr>
        <w:t>mass spectrometers, NMRs</w:t>
      </w:r>
      <w:r w:rsidR="003D08DE">
        <w:rPr>
          <w:rFonts w:asciiTheme="minorHAnsi" w:hAnsiTheme="minorHAnsi" w:cstheme="minorHAnsi"/>
        </w:rPr>
        <w:t>,</w:t>
      </w:r>
      <w:r w:rsidRPr="00CB5B25">
        <w:rPr>
          <w:rFonts w:asciiTheme="minorHAnsi" w:hAnsiTheme="minorHAnsi" w:cstheme="minorHAnsi"/>
        </w:rPr>
        <w:t xml:space="preserve"> XRD</w:t>
      </w:r>
      <w:r w:rsidR="003D08DE">
        <w:rPr>
          <w:rFonts w:asciiTheme="minorHAnsi" w:hAnsiTheme="minorHAnsi" w:cstheme="minorHAnsi"/>
        </w:rPr>
        <w:t>s</w:t>
      </w:r>
      <w:r w:rsidRPr="00CB5B25">
        <w:rPr>
          <w:rFonts w:asciiTheme="minorHAnsi" w:hAnsiTheme="minorHAnsi" w:cstheme="minorHAnsi"/>
        </w:rPr>
        <w:t>, Magnetic Properties, Spectroscopic tools and Thermal Analysis instruments</w:t>
      </w:r>
      <w:r w:rsidR="003D08DE">
        <w:rPr>
          <w:rFonts w:asciiTheme="minorHAnsi" w:hAnsiTheme="minorHAnsi" w:cstheme="minorHAnsi"/>
        </w:rPr>
        <w:t>, as well as a few ARC-ISS surface analysis instruments (XPS, CAG, VASE)</w:t>
      </w:r>
      <w:r w:rsidRPr="00CB5B25">
        <w:rPr>
          <w:rFonts w:asciiTheme="minorHAnsi" w:hAnsiTheme="minorHAnsi" w:cstheme="minorHAnsi"/>
        </w:rPr>
        <w:t xml:space="preserve">. </w:t>
      </w:r>
    </w:p>
    <w:p w14:paraId="2E8F77BE" w14:textId="77777777" w:rsidR="003D08DE" w:rsidRDefault="003D08DE" w:rsidP="00696EB4">
      <w:pPr>
        <w:rPr>
          <w:rFonts w:asciiTheme="minorHAnsi" w:hAnsiTheme="minorHAnsi" w:cstheme="minorHAnsi"/>
          <w:b/>
        </w:rPr>
      </w:pPr>
    </w:p>
    <w:p w14:paraId="1B853774" w14:textId="3FC61E91" w:rsidR="003614AF" w:rsidRPr="00CB5B25" w:rsidRDefault="003614AF" w:rsidP="00696EB4">
      <w:pPr>
        <w:rPr>
          <w:rFonts w:asciiTheme="minorHAnsi" w:hAnsiTheme="minorHAnsi" w:cstheme="minorHAnsi"/>
        </w:rPr>
      </w:pPr>
      <w:r w:rsidRPr="00CB5B25">
        <w:rPr>
          <w:rFonts w:asciiTheme="minorHAnsi" w:hAnsiTheme="minorHAnsi" w:cstheme="minorHAnsi"/>
          <w:b/>
        </w:rPr>
        <w:t>Chemistry High Field Basement NMR Laboratory</w:t>
      </w:r>
      <w:r w:rsidRPr="00CB5B25">
        <w:rPr>
          <w:rFonts w:asciiTheme="minorHAnsi" w:hAnsiTheme="minorHAnsi" w:cstheme="minorHAnsi"/>
        </w:rPr>
        <w:t xml:space="preserve"> is a 400 square foot lab with a 14 Tesla narrow bore, unshielded NMR magnet and console, B2.</w:t>
      </w:r>
    </w:p>
    <w:p w14:paraId="5E3DE48F" w14:textId="77777777" w:rsidR="003D08DE" w:rsidRDefault="003D08DE" w:rsidP="00696EB4">
      <w:pPr>
        <w:rPr>
          <w:rFonts w:asciiTheme="minorHAnsi" w:hAnsiTheme="minorHAnsi" w:cstheme="minorHAnsi"/>
          <w:b/>
        </w:rPr>
      </w:pPr>
    </w:p>
    <w:p w14:paraId="70B6F582" w14:textId="50F19069" w:rsidR="003614AF" w:rsidRDefault="003614AF" w:rsidP="00696EB4">
      <w:pPr>
        <w:rPr>
          <w:rFonts w:asciiTheme="minorHAnsi" w:hAnsiTheme="minorHAnsi" w:cstheme="minorHAnsi"/>
        </w:rPr>
      </w:pPr>
      <w:r w:rsidRPr="00CB5B25">
        <w:rPr>
          <w:rFonts w:asciiTheme="minorHAnsi" w:hAnsiTheme="minorHAnsi" w:cstheme="minorHAnsi"/>
          <w:b/>
        </w:rPr>
        <w:t>Chemistry B11</w:t>
      </w:r>
      <w:r w:rsidR="007D641D" w:rsidRPr="00CB5B25">
        <w:rPr>
          <w:rFonts w:asciiTheme="minorHAnsi" w:hAnsiTheme="minorHAnsi" w:cstheme="minorHAnsi"/>
          <w:b/>
        </w:rPr>
        <w:t>5 XRD Laboratory</w:t>
      </w:r>
      <w:r w:rsidR="007D641D" w:rsidRPr="00CB5B25">
        <w:rPr>
          <w:rFonts w:asciiTheme="minorHAnsi" w:hAnsiTheme="minorHAnsi" w:cstheme="minorHAnsi"/>
        </w:rPr>
        <w:t xml:space="preserve"> is a 600 square foot laboratory in the 1</w:t>
      </w:r>
      <w:r w:rsidR="007D641D" w:rsidRPr="00CB5B25">
        <w:rPr>
          <w:rFonts w:asciiTheme="minorHAnsi" w:hAnsiTheme="minorHAnsi" w:cstheme="minorHAnsi"/>
          <w:vertAlign w:val="superscript"/>
        </w:rPr>
        <w:t>st</w:t>
      </w:r>
      <w:r w:rsidR="007D641D" w:rsidRPr="00CB5B25">
        <w:rPr>
          <w:rFonts w:asciiTheme="minorHAnsi" w:hAnsiTheme="minorHAnsi" w:cstheme="minorHAnsi"/>
        </w:rPr>
        <w:t xml:space="preserve"> floor B-wing with office space.  Instruments found here include a powder XRD, a single crystal XRD and a SAXS.</w:t>
      </w:r>
    </w:p>
    <w:p w14:paraId="26BBB8F7" w14:textId="0AB3A517" w:rsidR="00CB5B25" w:rsidRPr="00CB5B25" w:rsidRDefault="00CB5B25" w:rsidP="00CB5B25">
      <w:pPr>
        <w:rPr>
          <w:rFonts w:asciiTheme="minorHAnsi" w:hAnsiTheme="minorHAnsi" w:cstheme="minorHAnsi"/>
        </w:rPr>
      </w:pPr>
    </w:p>
    <w:p w14:paraId="3573DC8A" w14:textId="77777777" w:rsidR="002C7FFE" w:rsidRDefault="007D641D" w:rsidP="00696EB4">
      <w:pPr>
        <w:rPr>
          <w:rFonts w:asciiTheme="minorHAnsi" w:hAnsiTheme="minorHAnsi" w:cstheme="minorHAnsi"/>
        </w:rPr>
      </w:pPr>
      <w:r w:rsidRPr="00CB5B25">
        <w:rPr>
          <w:rFonts w:asciiTheme="minorHAnsi" w:hAnsiTheme="minorHAnsi" w:cstheme="minorHAnsi"/>
          <w:b/>
        </w:rPr>
        <w:t>Chemistry Research Building CRB-109</w:t>
      </w:r>
      <w:r w:rsidRPr="00CB5B25">
        <w:rPr>
          <w:rFonts w:asciiTheme="minorHAnsi" w:hAnsiTheme="minorHAnsi" w:cstheme="minorHAnsi"/>
        </w:rPr>
        <w:t xml:space="preserve"> is 350 square feet of new laboratory space </w:t>
      </w:r>
      <w:r w:rsidR="00E247EE" w:rsidRPr="00CB5B25">
        <w:rPr>
          <w:rFonts w:asciiTheme="minorHAnsi" w:hAnsiTheme="minorHAnsi" w:cstheme="minorHAnsi"/>
        </w:rPr>
        <w:t xml:space="preserve">plus office </w:t>
      </w:r>
      <w:r w:rsidRPr="00CB5B25">
        <w:rPr>
          <w:rFonts w:asciiTheme="minorHAnsi" w:hAnsiTheme="minorHAnsi" w:cstheme="minorHAnsi"/>
        </w:rPr>
        <w:t xml:space="preserve">with vibrationally isolated floor that holds two 400 MHz NMRs, </w:t>
      </w:r>
      <w:r w:rsidR="00E247EE" w:rsidRPr="00CB5B25">
        <w:rPr>
          <w:rFonts w:asciiTheme="minorHAnsi" w:hAnsiTheme="minorHAnsi" w:cstheme="minorHAnsi"/>
        </w:rPr>
        <w:t>a routine electrospray mass spectrometer</w:t>
      </w:r>
      <w:r w:rsidR="002C7FFE">
        <w:rPr>
          <w:rFonts w:asciiTheme="minorHAnsi" w:hAnsiTheme="minorHAnsi" w:cstheme="minorHAnsi"/>
        </w:rPr>
        <w:t>.</w:t>
      </w:r>
    </w:p>
    <w:p w14:paraId="140AB470" w14:textId="77777777" w:rsidR="002C7FFE" w:rsidRDefault="002C7FFE" w:rsidP="00696EB4">
      <w:pPr>
        <w:rPr>
          <w:rFonts w:asciiTheme="minorHAnsi" w:hAnsiTheme="minorHAnsi" w:cstheme="minorHAnsi"/>
        </w:rPr>
      </w:pPr>
    </w:p>
    <w:p w14:paraId="7770148B" w14:textId="59BE3E58" w:rsidR="007D641D" w:rsidRDefault="002C7FFE" w:rsidP="00696E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Chemistry Research Building CRB-204Lb</w:t>
      </w:r>
      <w:r>
        <w:rPr>
          <w:rFonts w:asciiTheme="minorHAnsi" w:hAnsiTheme="minorHAnsi" w:cstheme="minorHAnsi"/>
        </w:rPr>
        <w:t xml:space="preserve"> is </w:t>
      </w:r>
      <w:r w:rsidR="002B7F45">
        <w:rPr>
          <w:rFonts w:asciiTheme="minorHAnsi" w:hAnsiTheme="minorHAnsi" w:cstheme="minorHAnsi"/>
        </w:rPr>
        <w:t>175 square feet</w:t>
      </w:r>
      <w:r w:rsidR="00E247EE" w:rsidRPr="00CB5B25">
        <w:rPr>
          <w:rFonts w:asciiTheme="minorHAnsi" w:hAnsiTheme="minorHAnsi" w:cstheme="minorHAnsi"/>
        </w:rPr>
        <w:t xml:space="preserve"> </w:t>
      </w:r>
      <w:r w:rsidR="0022080C">
        <w:rPr>
          <w:rFonts w:asciiTheme="minorHAnsi" w:hAnsiTheme="minorHAnsi" w:cstheme="minorHAnsi"/>
        </w:rPr>
        <w:t>of new laboratory space that houses a</w:t>
      </w:r>
      <w:r w:rsidR="00E247EE" w:rsidRPr="00CB5B25">
        <w:rPr>
          <w:rFonts w:asciiTheme="minorHAnsi" w:hAnsiTheme="minorHAnsi" w:cstheme="minorHAnsi"/>
        </w:rPr>
        <w:t xml:space="preserve"> </w:t>
      </w:r>
      <w:r w:rsidR="00832F1B">
        <w:rPr>
          <w:rFonts w:asciiTheme="minorHAnsi" w:hAnsiTheme="minorHAnsi" w:cstheme="minorHAnsi"/>
        </w:rPr>
        <w:t>Bruker D8 QUEST single crystal XRD</w:t>
      </w:r>
      <w:r w:rsidR="00F3156F">
        <w:rPr>
          <w:rFonts w:asciiTheme="minorHAnsi" w:hAnsiTheme="minorHAnsi" w:cstheme="minorHAnsi"/>
        </w:rPr>
        <w:t xml:space="preserve"> system capable of shutterless data collection</w:t>
      </w:r>
      <w:r w:rsidR="0022080C">
        <w:rPr>
          <w:rFonts w:asciiTheme="minorHAnsi" w:hAnsiTheme="minorHAnsi" w:cstheme="minorHAnsi"/>
          <w:color w:val="FF0000"/>
        </w:rPr>
        <w:t>.</w:t>
      </w:r>
    </w:p>
    <w:p w14:paraId="30719D4D" w14:textId="11AC5B6E" w:rsidR="001E0930" w:rsidRDefault="001E0930" w:rsidP="00696EB4">
      <w:pPr>
        <w:rPr>
          <w:rFonts w:asciiTheme="minorHAnsi" w:hAnsiTheme="minorHAnsi" w:cstheme="minorHAnsi"/>
        </w:rPr>
      </w:pPr>
    </w:p>
    <w:p w14:paraId="4E51D425" w14:textId="1D844258" w:rsidR="001E0930" w:rsidRDefault="001E0930" w:rsidP="00696EB4">
      <w:pPr>
        <w:rPr>
          <w:rFonts w:asciiTheme="minorHAnsi" w:hAnsiTheme="minorHAnsi" w:cstheme="minorHAnsi"/>
        </w:rPr>
      </w:pPr>
      <w:r w:rsidRPr="001E0930">
        <w:rPr>
          <w:rFonts w:asciiTheme="minorHAnsi" w:hAnsiTheme="minorHAnsi" w:cstheme="minorHAnsi"/>
          <w:b/>
          <w:bCs/>
        </w:rPr>
        <w:t xml:space="preserve">Computers and Data </w:t>
      </w:r>
      <w:r w:rsidR="00801CC0">
        <w:rPr>
          <w:rFonts w:asciiTheme="minorHAnsi" w:hAnsiTheme="minorHAnsi" w:cstheme="minorHAnsi"/>
          <w:b/>
          <w:bCs/>
        </w:rPr>
        <w:t>Management Infrastru</w:t>
      </w:r>
      <w:r w:rsidR="001B28E5">
        <w:rPr>
          <w:rFonts w:asciiTheme="minorHAnsi" w:hAnsiTheme="minorHAnsi" w:cstheme="minorHAnsi"/>
          <w:b/>
          <w:bCs/>
        </w:rPr>
        <w:t>c</w:t>
      </w:r>
      <w:r w:rsidR="00801CC0">
        <w:rPr>
          <w:rFonts w:asciiTheme="minorHAnsi" w:hAnsiTheme="minorHAnsi" w:cstheme="minorHAnsi"/>
          <w:b/>
          <w:bCs/>
        </w:rPr>
        <w:t>ture.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Instrument d</w:t>
      </w:r>
      <w:r w:rsidRPr="001E0930">
        <w:rPr>
          <w:rFonts w:asciiTheme="minorHAnsi" w:hAnsiTheme="minorHAnsi" w:cstheme="minorHAnsi"/>
        </w:rPr>
        <w:t xml:space="preserve">ata </w:t>
      </w:r>
      <w:r>
        <w:rPr>
          <w:rFonts w:asciiTheme="minorHAnsi" w:hAnsiTheme="minorHAnsi" w:cstheme="minorHAnsi"/>
        </w:rPr>
        <w:t>are collected</w:t>
      </w:r>
      <w:r w:rsidRPr="001E0930">
        <w:rPr>
          <w:rFonts w:asciiTheme="minorHAnsi" w:hAnsiTheme="minorHAnsi" w:cstheme="minorHAnsi"/>
        </w:rPr>
        <w:t xml:space="preserve"> and stored on instrument hard drive</w:t>
      </w:r>
      <w:r w:rsidR="00801CC0">
        <w:rPr>
          <w:rFonts w:asciiTheme="minorHAnsi" w:hAnsiTheme="minorHAnsi" w:cstheme="minorHAnsi"/>
        </w:rPr>
        <w:t xml:space="preserve">s </w:t>
      </w:r>
      <w:r w:rsidRPr="001E0930">
        <w:rPr>
          <w:rFonts w:asciiTheme="minorHAnsi" w:hAnsiTheme="minorHAnsi" w:cstheme="minorHAnsi"/>
        </w:rPr>
        <w:t xml:space="preserve">for up to one year. A copy of the data </w:t>
      </w:r>
      <w:r w:rsidR="00801CC0">
        <w:rPr>
          <w:rFonts w:asciiTheme="minorHAnsi" w:hAnsiTheme="minorHAnsi" w:cstheme="minorHAnsi"/>
        </w:rPr>
        <w:t>is</w:t>
      </w:r>
      <w:r w:rsidRPr="001E0930">
        <w:rPr>
          <w:rFonts w:asciiTheme="minorHAnsi" w:hAnsiTheme="minorHAnsi" w:cstheme="minorHAnsi"/>
        </w:rPr>
        <w:t xml:space="preserve"> also be stored</w:t>
      </w:r>
      <w:r w:rsidR="00801CC0">
        <w:rPr>
          <w:rFonts w:asciiTheme="minorHAnsi" w:hAnsiTheme="minorHAnsi" w:cstheme="minorHAnsi"/>
        </w:rPr>
        <w:t xml:space="preserve"> </w:t>
      </w:r>
      <w:r w:rsidRPr="001E0930">
        <w:rPr>
          <w:rFonts w:asciiTheme="minorHAnsi" w:hAnsiTheme="minorHAnsi" w:cstheme="minorHAnsi"/>
        </w:rPr>
        <w:t xml:space="preserve">through automatic backups onto the </w:t>
      </w:r>
      <w:r w:rsidR="00801CC0">
        <w:rPr>
          <w:rFonts w:asciiTheme="minorHAnsi" w:hAnsiTheme="minorHAnsi" w:cstheme="minorHAnsi"/>
        </w:rPr>
        <w:t>CSU’s</w:t>
      </w:r>
      <w:r w:rsidRPr="001E0930">
        <w:rPr>
          <w:rFonts w:asciiTheme="minorHAnsi" w:hAnsiTheme="minorHAnsi" w:cstheme="minorHAnsi"/>
        </w:rPr>
        <w:t xml:space="preserve"> ACNS Research Storage solution, RStor, which currently is configured with over 300 terabytes of storage. This is a recently implemented DELL Isilon storage platform located in the CSU campus data center and can be accessed directly from any computer workstation in the ARC-MMA</w:t>
      </w:r>
      <w:r w:rsidR="00801CC0">
        <w:rPr>
          <w:rFonts w:asciiTheme="minorHAnsi" w:hAnsiTheme="minorHAnsi" w:cstheme="minorHAnsi"/>
        </w:rPr>
        <w:t xml:space="preserve"> </w:t>
      </w:r>
      <w:r w:rsidRPr="001E0930">
        <w:rPr>
          <w:rFonts w:asciiTheme="minorHAnsi" w:hAnsiTheme="minorHAnsi" w:cstheme="minorHAnsi"/>
        </w:rPr>
        <w:t>lab. The ARC-MMA</w:t>
      </w:r>
      <w:r w:rsidR="00801CC0">
        <w:rPr>
          <w:rFonts w:asciiTheme="minorHAnsi" w:hAnsiTheme="minorHAnsi" w:cstheme="minorHAnsi"/>
        </w:rPr>
        <w:t xml:space="preserve"> </w:t>
      </w:r>
      <w:r w:rsidRPr="001E0930">
        <w:rPr>
          <w:rFonts w:asciiTheme="minorHAnsi" w:hAnsiTheme="minorHAnsi" w:cstheme="minorHAnsi"/>
        </w:rPr>
        <w:t>has</w:t>
      </w:r>
      <w:r w:rsidR="00801CC0">
        <w:rPr>
          <w:rFonts w:asciiTheme="minorHAnsi" w:hAnsiTheme="minorHAnsi" w:cstheme="minorHAnsi"/>
        </w:rPr>
        <w:t xml:space="preserve"> </w:t>
      </w:r>
      <w:r w:rsidRPr="001E0930">
        <w:rPr>
          <w:rFonts w:asciiTheme="minorHAnsi" w:hAnsiTheme="minorHAnsi" w:cstheme="minorHAnsi"/>
        </w:rPr>
        <w:t>three</w:t>
      </w:r>
      <w:r w:rsidR="00801CC0">
        <w:rPr>
          <w:rFonts w:asciiTheme="minorHAnsi" w:hAnsiTheme="minorHAnsi" w:cstheme="minorHAnsi"/>
        </w:rPr>
        <w:t xml:space="preserve"> </w:t>
      </w:r>
      <w:r w:rsidRPr="001E0930">
        <w:rPr>
          <w:rFonts w:asciiTheme="minorHAnsi" w:hAnsiTheme="minorHAnsi" w:cstheme="minorHAnsi"/>
        </w:rPr>
        <w:t>networked workstations</w:t>
      </w:r>
      <w:r w:rsidR="00801CC0">
        <w:rPr>
          <w:rFonts w:asciiTheme="minorHAnsi" w:hAnsiTheme="minorHAnsi" w:cstheme="minorHAnsi"/>
        </w:rPr>
        <w:t xml:space="preserve"> </w:t>
      </w:r>
      <w:r w:rsidRPr="001E0930">
        <w:rPr>
          <w:rFonts w:asciiTheme="minorHAnsi" w:hAnsiTheme="minorHAnsi" w:cstheme="minorHAnsi"/>
        </w:rPr>
        <w:t xml:space="preserve">in addition to our instrument computers where students can access and process data. </w:t>
      </w:r>
      <w:r w:rsidR="00801CC0">
        <w:rPr>
          <w:rFonts w:asciiTheme="minorHAnsi" w:hAnsiTheme="minorHAnsi" w:cstheme="minorHAnsi"/>
        </w:rPr>
        <w:t xml:space="preserve">Data is stored on </w:t>
      </w:r>
      <w:r w:rsidRPr="001E0930">
        <w:rPr>
          <w:rFonts w:asciiTheme="minorHAnsi" w:hAnsiTheme="minorHAnsi" w:cstheme="minorHAnsi"/>
        </w:rPr>
        <w:t>RStor</w:t>
      </w:r>
      <w:r w:rsidR="00801CC0">
        <w:rPr>
          <w:rFonts w:asciiTheme="minorHAnsi" w:hAnsiTheme="minorHAnsi" w:cstheme="minorHAnsi"/>
        </w:rPr>
        <w:t xml:space="preserve"> </w:t>
      </w:r>
      <w:r w:rsidRPr="001E0930">
        <w:rPr>
          <w:rFonts w:asciiTheme="minorHAnsi" w:hAnsiTheme="minorHAnsi" w:cstheme="minorHAnsi"/>
        </w:rPr>
        <w:t>and accessible to users</w:t>
      </w:r>
      <w:r w:rsidR="00801CC0">
        <w:rPr>
          <w:rFonts w:asciiTheme="minorHAnsi" w:hAnsiTheme="minorHAnsi" w:cstheme="minorHAnsi"/>
        </w:rPr>
        <w:t xml:space="preserve"> </w:t>
      </w:r>
      <w:r w:rsidRPr="001E0930">
        <w:rPr>
          <w:rFonts w:asciiTheme="minorHAnsi" w:hAnsiTheme="minorHAnsi" w:cstheme="minorHAnsi"/>
        </w:rPr>
        <w:t>for</w:t>
      </w:r>
      <w:r w:rsidR="00801CC0">
        <w:rPr>
          <w:rFonts w:asciiTheme="minorHAnsi" w:hAnsiTheme="minorHAnsi" w:cstheme="minorHAnsi"/>
        </w:rPr>
        <w:t xml:space="preserve"> </w:t>
      </w:r>
      <w:r w:rsidRPr="001E0930">
        <w:rPr>
          <w:rFonts w:asciiTheme="minorHAnsi" w:hAnsiTheme="minorHAnsi" w:cstheme="minorHAnsi"/>
        </w:rPr>
        <w:t>5</w:t>
      </w:r>
      <w:r w:rsidR="001B28E5">
        <w:rPr>
          <w:rFonts w:asciiTheme="minorHAnsi" w:hAnsiTheme="minorHAnsi" w:cstheme="minorHAnsi"/>
        </w:rPr>
        <w:t xml:space="preserve"> </w:t>
      </w:r>
      <w:r w:rsidRPr="001E0930">
        <w:rPr>
          <w:rFonts w:asciiTheme="minorHAnsi" w:hAnsiTheme="minorHAnsi" w:cstheme="minorHAnsi"/>
        </w:rPr>
        <w:t>years. After this period, data files</w:t>
      </w:r>
      <w:r w:rsidR="00801CC0">
        <w:rPr>
          <w:rFonts w:asciiTheme="minorHAnsi" w:hAnsiTheme="minorHAnsi" w:cstheme="minorHAnsi"/>
        </w:rPr>
        <w:t xml:space="preserve"> are</w:t>
      </w:r>
      <w:r w:rsidRPr="001E0930">
        <w:rPr>
          <w:rFonts w:asciiTheme="minorHAnsi" w:hAnsiTheme="minorHAnsi" w:cstheme="minorHAnsi"/>
        </w:rPr>
        <w:t xml:space="preserve"> transferred</w:t>
      </w:r>
      <w:r w:rsidR="00801CC0">
        <w:rPr>
          <w:rFonts w:asciiTheme="minorHAnsi" w:hAnsiTheme="minorHAnsi" w:cstheme="minorHAnsi"/>
        </w:rPr>
        <w:t xml:space="preserve"> </w:t>
      </w:r>
      <w:r w:rsidRPr="001E0930">
        <w:rPr>
          <w:rFonts w:asciiTheme="minorHAnsi" w:hAnsiTheme="minorHAnsi" w:cstheme="minorHAnsi"/>
        </w:rPr>
        <w:t>onto</w:t>
      </w:r>
      <w:r w:rsidR="00801CC0">
        <w:rPr>
          <w:rFonts w:asciiTheme="minorHAnsi" w:hAnsiTheme="minorHAnsi" w:cstheme="minorHAnsi"/>
        </w:rPr>
        <w:t xml:space="preserve"> </w:t>
      </w:r>
      <w:r w:rsidRPr="001E0930">
        <w:rPr>
          <w:rFonts w:asciiTheme="minorHAnsi" w:hAnsiTheme="minorHAnsi" w:cstheme="minorHAnsi"/>
        </w:rPr>
        <w:t>an external hard drive</w:t>
      </w:r>
      <w:r w:rsidR="00801CC0">
        <w:rPr>
          <w:rFonts w:asciiTheme="minorHAnsi" w:hAnsiTheme="minorHAnsi" w:cstheme="minorHAnsi"/>
        </w:rPr>
        <w:t xml:space="preserve"> </w:t>
      </w:r>
      <w:r w:rsidRPr="001E0930">
        <w:rPr>
          <w:rFonts w:asciiTheme="minorHAnsi" w:hAnsiTheme="minorHAnsi" w:cstheme="minorHAnsi"/>
        </w:rPr>
        <w:t>for archiving</w:t>
      </w:r>
      <w:r w:rsidR="00801CC0">
        <w:rPr>
          <w:rFonts w:asciiTheme="minorHAnsi" w:hAnsiTheme="minorHAnsi" w:cstheme="minorHAnsi"/>
        </w:rPr>
        <w:t xml:space="preserve"> </w:t>
      </w:r>
      <w:r w:rsidRPr="001E0930">
        <w:rPr>
          <w:rFonts w:asciiTheme="minorHAnsi" w:hAnsiTheme="minorHAnsi" w:cstheme="minorHAnsi"/>
        </w:rPr>
        <w:t>and cleared from RStor. This data management plan, which is implemented throughout the ARC-</w:t>
      </w:r>
      <w:r w:rsidR="00801CC0">
        <w:rPr>
          <w:rFonts w:asciiTheme="minorHAnsi" w:hAnsiTheme="minorHAnsi" w:cstheme="minorHAnsi"/>
        </w:rPr>
        <w:t>MMA</w:t>
      </w:r>
      <w:r w:rsidRPr="001E0930">
        <w:rPr>
          <w:rFonts w:asciiTheme="minorHAnsi" w:hAnsiTheme="minorHAnsi" w:cstheme="minorHAnsi"/>
        </w:rPr>
        <w:t xml:space="preserve">, guarantees secure backup of any data collected on all </w:t>
      </w:r>
      <w:r w:rsidR="00801CC0">
        <w:rPr>
          <w:rFonts w:asciiTheme="minorHAnsi" w:hAnsiTheme="minorHAnsi" w:cstheme="minorHAnsi"/>
        </w:rPr>
        <w:t>instruments.</w:t>
      </w:r>
    </w:p>
    <w:p w14:paraId="55A1DBEF" w14:textId="77777777" w:rsidR="005722FB" w:rsidRDefault="005722FB" w:rsidP="00696EB4">
      <w:pPr>
        <w:rPr>
          <w:rFonts w:asciiTheme="minorHAnsi" w:hAnsiTheme="minorHAnsi" w:cstheme="minorHAnsi"/>
        </w:rPr>
      </w:pPr>
    </w:p>
    <w:p w14:paraId="71EE0639" w14:textId="77777777" w:rsidR="005722FB" w:rsidRPr="00D51078" w:rsidRDefault="005722FB" w:rsidP="005722FB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51078">
        <w:rPr>
          <w:rFonts w:asciiTheme="minorHAnsi" w:hAnsiTheme="minorHAnsi" w:cstheme="minorHAnsi"/>
          <w:b/>
          <w:bCs/>
          <w:color w:val="000000" w:themeColor="text1"/>
        </w:rPr>
        <w:t>Software licenses</w:t>
      </w:r>
    </w:p>
    <w:p w14:paraId="06088136" w14:textId="2475DEFC" w:rsidR="005722FB" w:rsidRDefault="0019435B" w:rsidP="005722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ARC-MMA</w:t>
      </w:r>
      <w:r w:rsidR="005722FB" w:rsidRPr="00083FF0">
        <w:rPr>
          <w:rFonts w:asciiTheme="minorHAnsi" w:hAnsiTheme="minorHAnsi" w:cstheme="minorHAnsi"/>
        </w:rPr>
        <w:t xml:space="preserve"> maintains current licenses for several </w:t>
      </w:r>
      <w:r>
        <w:rPr>
          <w:rFonts w:asciiTheme="minorHAnsi" w:hAnsiTheme="minorHAnsi" w:cstheme="minorHAnsi"/>
        </w:rPr>
        <w:t xml:space="preserve">software packages, including </w:t>
      </w:r>
      <w:r w:rsidR="00317108">
        <w:rPr>
          <w:rFonts w:asciiTheme="minorHAnsi" w:hAnsiTheme="minorHAnsi" w:cstheme="minorHAnsi"/>
        </w:rPr>
        <w:t xml:space="preserve">data acquisition and processing software </w:t>
      </w:r>
      <w:r w:rsidR="00062351">
        <w:rPr>
          <w:rFonts w:asciiTheme="minorHAnsi" w:hAnsiTheme="minorHAnsi" w:cstheme="minorHAnsi"/>
        </w:rPr>
        <w:t>of vendors of the different instruments</w:t>
      </w:r>
      <w:r w:rsidR="005722FB" w:rsidRPr="00083FF0">
        <w:rPr>
          <w:rFonts w:asciiTheme="minorHAnsi" w:hAnsiTheme="minorHAnsi" w:cstheme="minorHAnsi"/>
        </w:rPr>
        <w:t>.</w:t>
      </w:r>
      <w:r w:rsidR="00062351">
        <w:rPr>
          <w:rFonts w:asciiTheme="minorHAnsi" w:hAnsiTheme="minorHAnsi" w:cstheme="minorHAnsi"/>
        </w:rPr>
        <w:t xml:space="preserve"> </w:t>
      </w:r>
      <w:r w:rsidR="009F1156">
        <w:rPr>
          <w:rFonts w:asciiTheme="minorHAnsi" w:hAnsiTheme="minorHAnsi" w:cstheme="minorHAnsi"/>
        </w:rPr>
        <w:t>Data can be analyzed by users using th</w:t>
      </w:r>
      <w:r w:rsidR="00E23DA0">
        <w:rPr>
          <w:rFonts w:asciiTheme="minorHAnsi" w:hAnsiTheme="minorHAnsi" w:cstheme="minorHAnsi"/>
        </w:rPr>
        <w:t xml:space="preserve">e instrument software on the workstations in the MMA, or remotely </w:t>
      </w:r>
      <w:r w:rsidR="00D1004C">
        <w:rPr>
          <w:rFonts w:asciiTheme="minorHAnsi" w:hAnsiTheme="minorHAnsi" w:cstheme="minorHAnsi"/>
        </w:rPr>
        <w:t xml:space="preserve">(for most </w:t>
      </w:r>
      <w:r w:rsidR="007C0D7D">
        <w:rPr>
          <w:rFonts w:asciiTheme="minorHAnsi" w:hAnsiTheme="minorHAnsi" w:cstheme="minorHAnsi"/>
        </w:rPr>
        <w:t xml:space="preserve">instruments) </w:t>
      </w:r>
      <w:r w:rsidR="00E23DA0">
        <w:rPr>
          <w:rFonts w:asciiTheme="minorHAnsi" w:hAnsiTheme="minorHAnsi" w:cstheme="minorHAnsi"/>
        </w:rPr>
        <w:t>from their own computers by RemotePC</w:t>
      </w:r>
      <w:r w:rsidR="00D1004C" w:rsidRPr="007C0D7D">
        <w:rPr>
          <w:rFonts w:asciiTheme="minorHAnsi" w:hAnsiTheme="minorHAnsi" w:cstheme="minorHAnsi"/>
          <w:vertAlign w:val="superscript"/>
        </w:rPr>
        <w:t>TM</w:t>
      </w:r>
      <w:r w:rsidR="00E23DA0">
        <w:rPr>
          <w:rFonts w:asciiTheme="minorHAnsi" w:hAnsiTheme="minorHAnsi" w:cstheme="minorHAnsi"/>
        </w:rPr>
        <w:t xml:space="preserve">, a license provided by the ARC-MMA to all users. </w:t>
      </w:r>
      <w:r w:rsidR="007C0D7D">
        <w:rPr>
          <w:rFonts w:asciiTheme="minorHAnsi" w:hAnsiTheme="minorHAnsi" w:cstheme="minorHAnsi"/>
        </w:rPr>
        <w:t>T</w:t>
      </w:r>
      <w:r w:rsidR="009F1156">
        <w:rPr>
          <w:rFonts w:asciiTheme="minorHAnsi" w:hAnsiTheme="minorHAnsi" w:cstheme="minorHAnsi"/>
        </w:rPr>
        <w:t>he following licenses are</w:t>
      </w:r>
      <w:r w:rsidR="00E23DA0">
        <w:rPr>
          <w:rFonts w:asciiTheme="minorHAnsi" w:hAnsiTheme="minorHAnsi" w:cstheme="minorHAnsi"/>
        </w:rPr>
        <w:t xml:space="preserve"> </w:t>
      </w:r>
      <w:r w:rsidR="004F608B">
        <w:rPr>
          <w:rFonts w:asciiTheme="minorHAnsi" w:hAnsiTheme="minorHAnsi" w:cstheme="minorHAnsi"/>
        </w:rPr>
        <w:t>offered to investigators for their own use and installation</w:t>
      </w:r>
      <w:r w:rsidR="00DE3E55">
        <w:rPr>
          <w:rFonts w:asciiTheme="minorHAnsi" w:hAnsiTheme="minorHAnsi" w:cstheme="minorHAnsi"/>
        </w:rPr>
        <w:t xml:space="preserve"> with an additional fee</w:t>
      </w:r>
      <w:r w:rsidR="00380B43">
        <w:rPr>
          <w:rFonts w:asciiTheme="minorHAnsi" w:hAnsiTheme="minorHAnsi" w:cstheme="minorHAnsi"/>
        </w:rPr>
        <w:t xml:space="preserve"> as they cannot be accessed through RemotePC</w:t>
      </w:r>
      <w:r w:rsidR="007C0D7D" w:rsidRPr="007C0D7D">
        <w:rPr>
          <w:rFonts w:asciiTheme="minorHAnsi" w:hAnsiTheme="minorHAnsi" w:cstheme="minorHAnsi"/>
          <w:vertAlign w:val="superscript"/>
        </w:rPr>
        <w:t>TM</w:t>
      </w:r>
      <w:r w:rsidR="00244641">
        <w:rPr>
          <w:rFonts w:asciiTheme="minorHAnsi" w:hAnsiTheme="minorHAnsi" w:cstheme="minorHAnsi"/>
        </w:rPr>
        <w:t>:</w:t>
      </w:r>
      <w:r w:rsidR="00DE3E55">
        <w:rPr>
          <w:rFonts w:asciiTheme="minorHAnsi" w:hAnsiTheme="minorHAnsi" w:cstheme="minorHAnsi"/>
        </w:rPr>
        <w:t xml:space="preserve"> </w:t>
      </w:r>
    </w:p>
    <w:p w14:paraId="0FDAFBA5" w14:textId="58F820D8" w:rsidR="00244641" w:rsidRPr="007C0D7D" w:rsidRDefault="00473E45" w:rsidP="0024464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7C0D7D">
        <w:rPr>
          <w:rFonts w:asciiTheme="minorHAnsi" w:hAnsiTheme="minorHAnsi" w:cstheme="minorHAnsi"/>
          <w:color w:val="000000" w:themeColor="text1"/>
        </w:rPr>
        <w:t>Cambridge Crystallographic Data Centre (</w:t>
      </w:r>
      <w:r w:rsidR="00DE3E55" w:rsidRPr="007C0D7D">
        <w:rPr>
          <w:rFonts w:asciiTheme="minorHAnsi" w:hAnsiTheme="minorHAnsi" w:cstheme="minorHAnsi"/>
          <w:color w:val="000000" w:themeColor="text1"/>
        </w:rPr>
        <w:t>CCDC</w:t>
      </w:r>
      <w:r w:rsidRPr="007C0D7D">
        <w:rPr>
          <w:rFonts w:asciiTheme="minorHAnsi" w:hAnsiTheme="minorHAnsi" w:cstheme="minorHAnsi"/>
          <w:color w:val="000000" w:themeColor="text1"/>
        </w:rPr>
        <w:t>)</w:t>
      </w:r>
    </w:p>
    <w:p w14:paraId="0F53824D" w14:textId="5C5D573E" w:rsidR="00DE3E55" w:rsidRPr="007C0D7D" w:rsidRDefault="00CA1C46" w:rsidP="0024464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7C0D7D">
        <w:rPr>
          <w:rFonts w:asciiTheme="minorHAnsi" w:hAnsiTheme="minorHAnsi" w:cstheme="minorHAnsi"/>
          <w:color w:val="000000" w:themeColor="text1"/>
        </w:rPr>
        <w:t>CrystalMaker</w:t>
      </w:r>
      <w:r w:rsidR="00473E45" w:rsidRPr="007C0D7D">
        <w:rPr>
          <w:rFonts w:asciiTheme="minorHAnsi" w:hAnsiTheme="minorHAnsi" w:cstheme="minorHAnsi"/>
          <w:color w:val="000000" w:themeColor="text1"/>
        </w:rPr>
        <w:t xml:space="preserve"> software package</w:t>
      </w:r>
      <w:r w:rsidR="00E60AA1" w:rsidRPr="007C0D7D">
        <w:rPr>
          <w:rFonts w:asciiTheme="minorHAnsi" w:hAnsiTheme="minorHAnsi" w:cstheme="minorHAnsi"/>
          <w:color w:val="000000" w:themeColor="text1"/>
        </w:rPr>
        <w:t xml:space="preserve"> (including CrystalMaker, SingleCrystal, CrystalDiffract, and SingleCrystal Viewer)</w:t>
      </w:r>
    </w:p>
    <w:p w14:paraId="54BD0177" w14:textId="45D8770F" w:rsidR="005722FB" w:rsidRPr="007C0D7D" w:rsidRDefault="00B92925" w:rsidP="007C0D7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7C0D7D">
        <w:rPr>
          <w:rFonts w:asciiTheme="minorHAnsi" w:hAnsiTheme="minorHAnsi" w:cstheme="minorHAnsi"/>
          <w:color w:val="000000" w:themeColor="text1"/>
        </w:rPr>
        <w:t xml:space="preserve">Inorganic </w:t>
      </w:r>
      <w:r w:rsidR="00E60AA1" w:rsidRPr="007C0D7D">
        <w:rPr>
          <w:rFonts w:asciiTheme="minorHAnsi" w:hAnsiTheme="minorHAnsi" w:cstheme="minorHAnsi"/>
          <w:color w:val="000000" w:themeColor="text1"/>
        </w:rPr>
        <w:t>Crystal Structure Database (</w:t>
      </w:r>
      <w:r w:rsidR="00C71501" w:rsidRPr="007C0D7D">
        <w:rPr>
          <w:rFonts w:asciiTheme="minorHAnsi" w:hAnsiTheme="minorHAnsi" w:cstheme="minorHAnsi"/>
          <w:color w:val="000000" w:themeColor="text1"/>
        </w:rPr>
        <w:t>ICSD</w:t>
      </w:r>
      <w:r w:rsidR="00E60AA1" w:rsidRPr="007C0D7D">
        <w:rPr>
          <w:rFonts w:asciiTheme="minorHAnsi" w:hAnsiTheme="minorHAnsi" w:cstheme="minorHAnsi"/>
          <w:color w:val="000000" w:themeColor="text1"/>
        </w:rPr>
        <w:t>-</w:t>
      </w:r>
      <w:r w:rsidR="00C71501" w:rsidRPr="007C0D7D">
        <w:rPr>
          <w:rFonts w:asciiTheme="minorHAnsi" w:hAnsiTheme="minorHAnsi" w:cstheme="minorHAnsi"/>
          <w:color w:val="000000" w:themeColor="text1"/>
        </w:rPr>
        <w:t>web)</w:t>
      </w:r>
    </w:p>
    <w:sectPr w:rsidR="005722FB" w:rsidRPr="007C0D7D" w:rsidSect="0082762B">
      <w:headerReference w:type="default" r:id="rId10"/>
      <w:footerReference w:type="default" r:id="rId11"/>
      <w:endnotePr>
        <w:numRestart w:val="eachSect"/>
      </w:endnotePr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E8BBC" w14:textId="77777777" w:rsidR="00D154C5" w:rsidRDefault="00D154C5" w:rsidP="0085554D">
      <w:r>
        <w:separator/>
      </w:r>
    </w:p>
  </w:endnote>
  <w:endnote w:type="continuationSeparator" w:id="0">
    <w:p w14:paraId="1D8D6358" w14:textId="77777777" w:rsidR="00D154C5" w:rsidRDefault="00D154C5" w:rsidP="0085554D">
      <w:r>
        <w:continuationSeparator/>
      </w:r>
    </w:p>
  </w:endnote>
  <w:endnote w:type="continuationNotice" w:id="1">
    <w:p w14:paraId="42C365DF" w14:textId="77777777" w:rsidR="00D154C5" w:rsidRDefault="00D154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66BE1" w14:textId="5C0FF8A8" w:rsidR="00E34DD2" w:rsidRPr="00CB5B25" w:rsidRDefault="00263AC0" w:rsidP="00E34DD2">
    <w:pPr>
      <w:pStyle w:val="Footer"/>
      <w:jc w:val="right"/>
      <w:rPr>
        <w:rFonts w:asciiTheme="minorHAnsi" w:hAnsiTheme="minorHAnsi" w:cstheme="minorHAnsi"/>
      </w:rPr>
    </w:pPr>
    <w:r w:rsidRPr="00CB5B25">
      <w:rPr>
        <w:rFonts w:asciiTheme="minorHAnsi" w:hAnsiTheme="minorHAnsi" w:cstheme="minorHAnsi"/>
        <w:noProof/>
      </w:rPr>
      <w:fldChar w:fldCharType="begin"/>
    </w:r>
    <w:r w:rsidRPr="00CB5B25">
      <w:rPr>
        <w:rFonts w:asciiTheme="minorHAnsi" w:hAnsiTheme="minorHAnsi" w:cstheme="minorHAnsi"/>
        <w:noProof/>
      </w:rPr>
      <w:instrText xml:space="preserve"> FILENAME </w:instrText>
    </w:r>
    <w:r w:rsidRPr="00CB5B25">
      <w:rPr>
        <w:rFonts w:asciiTheme="minorHAnsi" w:hAnsiTheme="minorHAnsi" w:cstheme="minorHAnsi"/>
        <w:noProof/>
      </w:rPr>
      <w:fldChar w:fldCharType="separate"/>
    </w:r>
    <w:r w:rsidR="00CB5B25" w:rsidRPr="00CB5B25">
      <w:rPr>
        <w:rFonts w:asciiTheme="minorHAnsi" w:hAnsiTheme="minorHAnsi" w:cstheme="minorHAnsi"/>
        <w:noProof/>
      </w:rPr>
      <w:t>ARC-MMA</w:t>
    </w:r>
    <w:r w:rsidR="00E34DD2" w:rsidRPr="00CB5B25">
      <w:rPr>
        <w:rFonts w:asciiTheme="minorHAnsi" w:hAnsiTheme="minorHAnsi" w:cstheme="minorHAnsi"/>
        <w:noProof/>
      </w:rPr>
      <w:t>-</w:t>
    </w:r>
    <w:r w:rsidR="00CB5B25" w:rsidRPr="00CB5B25">
      <w:rPr>
        <w:rFonts w:asciiTheme="minorHAnsi" w:hAnsiTheme="minorHAnsi" w:cstheme="minorHAnsi"/>
        <w:noProof/>
      </w:rPr>
      <w:t>Assets</w:t>
    </w:r>
    <w:r w:rsidR="00E34DD2" w:rsidRPr="00CB5B25">
      <w:rPr>
        <w:rFonts w:asciiTheme="minorHAnsi" w:hAnsiTheme="minorHAnsi" w:cstheme="minorHAnsi"/>
        <w:noProof/>
      </w:rPr>
      <w:t>_2</w:t>
    </w:r>
    <w:r w:rsidR="00CB5B25" w:rsidRPr="00CB5B25">
      <w:rPr>
        <w:rFonts w:asciiTheme="minorHAnsi" w:hAnsiTheme="minorHAnsi" w:cstheme="minorHAnsi"/>
        <w:noProof/>
      </w:rPr>
      <w:t>020-09-24</w:t>
    </w:r>
    <w:r w:rsidR="00E34DD2" w:rsidRPr="00CB5B25">
      <w:rPr>
        <w:rFonts w:asciiTheme="minorHAnsi" w:hAnsiTheme="minorHAnsi" w:cstheme="minorHAnsi"/>
        <w:noProof/>
      </w:rPr>
      <w:t>.docx</w:t>
    </w:r>
    <w:r w:rsidRPr="00CB5B25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011A2" w14:textId="77777777" w:rsidR="00D154C5" w:rsidRDefault="00D154C5" w:rsidP="0085554D">
      <w:r>
        <w:separator/>
      </w:r>
    </w:p>
  </w:footnote>
  <w:footnote w:type="continuationSeparator" w:id="0">
    <w:p w14:paraId="69CB6B06" w14:textId="77777777" w:rsidR="00D154C5" w:rsidRDefault="00D154C5" w:rsidP="0085554D">
      <w:r>
        <w:continuationSeparator/>
      </w:r>
    </w:p>
  </w:footnote>
  <w:footnote w:type="continuationNotice" w:id="1">
    <w:p w14:paraId="10A38D90" w14:textId="77777777" w:rsidR="00D154C5" w:rsidRDefault="00D154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1C75F" w14:textId="57277719" w:rsidR="00413F4F" w:rsidRPr="00CB5B25" w:rsidRDefault="00CB5B25" w:rsidP="00413F4F">
    <w:pPr>
      <w:rPr>
        <w:rFonts w:asciiTheme="minorHAnsi" w:hAnsiTheme="minorHAnsi" w:cstheme="minorHAnsi"/>
        <w:b/>
        <w:sz w:val="28"/>
        <w:szCs w:val="28"/>
      </w:rPr>
    </w:pPr>
    <w:r w:rsidRPr="00CB5B25">
      <w:rPr>
        <w:rFonts w:asciiTheme="minorHAnsi" w:hAnsiTheme="minorHAnsi" w:cstheme="minorHAnsi"/>
        <w:b/>
        <w:sz w:val="28"/>
        <w:szCs w:val="28"/>
      </w:rPr>
      <w:t>ARC-MMA</w:t>
    </w:r>
    <w:r w:rsidR="00413F4F" w:rsidRPr="00CB5B25">
      <w:rPr>
        <w:rFonts w:asciiTheme="minorHAnsi" w:hAnsiTheme="minorHAnsi" w:cstheme="minorHAnsi"/>
        <w:b/>
        <w:sz w:val="28"/>
        <w:szCs w:val="28"/>
      </w:rPr>
      <w:t xml:space="preserve"> </w:t>
    </w:r>
    <w:r w:rsidR="00862B29" w:rsidRPr="00CB5B25">
      <w:rPr>
        <w:rFonts w:asciiTheme="minorHAnsi" w:hAnsiTheme="minorHAnsi" w:cstheme="minorHAnsi"/>
        <w:b/>
        <w:sz w:val="28"/>
        <w:szCs w:val="28"/>
      </w:rPr>
      <w:t>–</w:t>
    </w:r>
    <w:r w:rsidR="00413F4F" w:rsidRPr="00CB5B25">
      <w:rPr>
        <w:rFonts w:asciiTheme="minorHAnsi" w:hAnsiTheme="minorHAnsi" w:cstheme="minorHAnsi"/>
        <w:b/>
        <w:sz w:val="28"/>
        <w:szCs w:val="28"/>
      </w:rPr>
      <w:t xml:space="preserve"> </w:t>
    </w:r>
    <w:r w:rsidR="00862B29" w:rsidRPr="00CB5B25">
      <w:rPr>
        <w:rFonts w:asciiTheme="minorHAnsi" w:hAnsiTheme="minorHAnsi" w:cstheme="minorHAnsi"/>
        <w:b/>
        <w:sz w:val="28"/>
        <w:szCs w:val="28"/>
      </w:rPr>
      <w:t>Assets Include Equipment, Staff and Facilities</w:t>
    </w:r>
  </w:p>
  <w:p w14:paraId="72C04362" w14:textId="77777777" w:rsidR="00413F4F" w:rsidRDefault="00413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786A"/>
    <w:multiLevelType w:val="hybridMultilevel"/>
    <w:tmpl w:val="BDE8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61A"/>
    <w:multiLevelType w:val="multilevel"/>
    <w:tmpl w:val="73EC9CA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A2902"/>
    <w:multiLevelType w:val="hybridMultilevel"/>
    <w:tmpl w:val="F4982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639D0"/>
    <w:multiLevelType w:val="hybridMultilevel"/>
    <w:tmpl w:val="62C6A972"/>
    <w:lvl w:ilvl="0" w:tplc="FCB8B8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2770"/>
    <w:multiLevelType w:val="hybridMultilevel"/>
    <w:tmpl w:val="36FA8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EC163C5"/>
    <w:multiLevelType w:val="multilevel"/>
    <w:tmpl w:val="9736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46854"/>
    <w:multiLevelType w:val="hybridMultilevel"/>
    <w:tmpl w:val="ED800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62798"/>
    <w:multiLevelType w:val="hybridMultilevel"/>
    <w:tmpl w:val="C6A4F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D920498"/>
    <w:multiLevelType w:val="hybridMultilevel"/>
    <w:tmpl w:val="DA6E2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4355CD"/>
    <w:multiLevelType w:val="hybridMultilevel"/>
    <w:tmpl w:val="B5120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EE"/>
    <w:rsid w:val="00002C2B"/>
    <w:rsid w:val="0000379D"/>
    <w:rsid w:val="00014028"/>
    <w:rsid w:val="000221B4"/>
    <w:rsid w:val="00023D81"/>
    <w:rsid w:val="000366F7"/>
    <w:rsid w:val="00062351"/>
    <w:rsid w:val="00066CF8"/>
    <w:rsid w:val="000679BA"/>
    <w:rsid w:val="00083FF0"/>
    <w:rsid w:val="000928DB"/>
    <w:rsid w:val="000A2027"/>
    <w:rsid w:val="000B6097"/>
    <w:rsid w:val="000E3B6E"/>
    <w:rsid w:val="000E6188"/>
    <w:rsid w:val="000F22EE"/>
    <w:rsid w:val="00110A56"/>
    <w:rsid w:val="001463BD"/>
    <w:rsid w:val="00180D55"/>
    <w:rsid w:val="001824C7"/>
    <w:rsid w:val="001835C3"/>
    <w:rsid w:val="0018477F"/>
    <w:rsid w:val="0019435B"/>
    <w:rsid w:val="001A2DF3"/>
    <w:rsid w:val="001A7E02"/>
    <w:rsid w:val="001B28E5"/>
    <w:rsid w:val="001B3219"/>
    <w:rsid w:val="001E0930"/>
    <w:rsid w:val="0022080C"/>
    <w:rsid w:val="00230419"/>
    <w:rsid w:val="0023314E"/>
    <w:rsid w:val="0024306E"/>
    <w:rsid w:val="00244641"/>
    <w:rsid w:val="00263AC0"/>
    <w:rsid w:val="00266596"/>
    <w:rsid w:val="00285717"/>
    <w:rsid w:val="002A1DAA"/>
    <w:rsid w:val="002B3FDD"/>
    <w:rsid w:val="002B7F45"/>
    <w:rsid w:val="002C7FFE"/>
    <w:rsid w:val="002E2A01"/>
    <w:rsid w:val="00307C3F"/>
    <w:rsid w:val="00313E98"/>
    <w:rsid w:val="00315004"/>
    <w:rsid w:val="00317108"/>
    <w:rsid w:val="00353EDF"/>
    <w:rsid w:val="003552AD"/>
    <w:rsid w:val="00357502"/>
    <w:rsid w:val="003614AF"/>
    <w:rsid w:val="00366931"/>
    <w:rsid w:val="003725D3"/>
    <w:rsid w:val="00380B43"/>
    <w:rsid w:val="00383277"/>
    <w:rsid w:val="0039165B"/>
    <w:rsid w:val="0039176F"/>
    <w:rsid w:val="003A4E0B"/>
    <w:rsid w:val="003D08DE"/>
    <w:rsid w:val="003D325A"/>
    <w:rsid w:val="003E75B1"/>
    <w:rsid w:val="003F5000"/>
    <w:rsid w:val="00411439"/>
    <w:rsid w:val="00413F4F"/>
    <w:rsid w:val="004542F2"/>
    <w:rsid w:val="00473E45"/>
    <w:rsid w:val="00483953"/>
    <w:rsid w:val="004C58EF"/>
    <w:rsid w:val="004D1645"/>
    <w:rsid w:val="004E012B"/>
    <w:rsid w:val="004E171F"/>
    <w:rsid w:val="004E2A6C"/>
    <w:rsid w:val="004E3608"/>
    <w:rsid w:val="004F3432"/>
    <w:rsid w:val="004F608B"/>
    <w:rsid w:val="004F72F5"/>
    <w:rsid w:val="00504F32"/>
    <w:rsid w:val="005059CF"/>
    <w:rsid w:val="00551492"/>
    <w:rsid w:val="005722FB"/>
    <w:rsid w:val="005876D2"/>
    <w:rsid w:val="005D4F50"/>
    <w:rsid w:val="005F7CB5"/>
    <w:rsid w:val="005F7DDB"/>
    <w:rsid w:val="00615D69"/>
    <w:rsid w:val="00625AAF"/>
    <w:rsid w:val="006517F9"/>
    <w:rsid w:val="00674B98"/>
    <w:rsid w:val="00682CD2"/>
    <w:rsid w:val="0069393A"/>
    <w:rsid w:val="00696EB4"/>
    <w:rsid w:val="006D17DB"/>
    <w:rsid w:val="006E328B"/>
    <w:rsid w:val="006E4A0D"/>
    <w:rsid w:val="006F6FD7"/>
    <w:rsid w:val="00713865"/>
    <w:rsid w:val="00722931"/>
    <w:rsid w:val="00732A84"/>
    <w:rsid w:val="007518DB"/>
    <w:rsid w:val="00776D3C"/>
    <w:rsid w:val="00782CAF"/>
    <w:rsid w:val="00784391"/>
    <w:rsid w:val="007C0D7D"/>
    <w:rsid w:val="007C2433"/>
    <w:rsid w:val="007D641D"/>
    <w:rsid w:val="007F6D7E"/>
    <w:rsid w:val="00801CC0"/>
    <w:rsid w:val="0082762B"/>
    <w:rsid w:val="00832F1B"/>
    <w:rsid w:val="00842EF0"/>
    <w:rsid w:val="00844A67"/>
    <w:rsid w:val="0085554D"/>
    <w:rsid w:val="008563CF"/>
    <w:rsid w:val="00862B29"/>
    <w:rsid w:val="00867FE7"/>
    <w:rsid w:val="00880E99"/>
    <w:rsid w:val="00886B77"/>
    <w:rsid w:val="008A3F28"/>
    <w:rsid w:val="00907910"/>
    <w:rsid w:val="00932C5A"/>
    <w:rsid w:val="00937B52"/>
    <w:rsid w:val="00952029"/>
    <w:rsid w:val="0095766B"/>
    <w:rsid w:val="00976D39"/>
    <w:rsid w:val="00986B19"/>
    <w:rsid w:val="0099223B"/>
    <w:rsid w:val="00994D59"/>
    <w:rsid w:val="009B147A"/>
    <w:rsid w:val="009C6B43"/>
    <w:rsid w:val="009D3545"/>
    <w:rsid w:val="009F1156"/>
    <w:rsid w:val="00A52355"/>
    <w:rsid w:val="00A7073C"/>
    <w:rsid w:val="00A84544"/>
    <w:rsid w:val="00B2587A"/>
    <w:rsid w:val="00B3402F"/>
    <w:rsid w:val="00B344B4"/>
    <w:rsid w:val="00B756DB"/>
    <w:rsid w:val="00B92925"/>
    <w:rsid w:val="00B94136"/>
    <w:rsid w:val="00BB413D"/>
    <w:rsid w:val="00BB75F0"/>
    <w:rsid w:val="00BE249B"/>
    <w:rsid w:val="00BF2335"/>
    <w:rsid w:val="00BF7256"/>
    <w:rsid w:val="00C23D8D"/>
    <w:rsid w:val="00C558E6"/>
    <w:rsid w:val="00C71501"/>
    <w:rsid w:val="00C935A3"/>
    <w:rsid w:val="00C94E45"/>
    <w:rsid w:val="00CA1C46"/>
    <w:rsid w:val="00CA4AD3"/>
    <w:rsid w:val="00CB5398"/>
    <w:rsid w:val="00CB5B25"/>
    <w:rsid w:val="00CD37CB"/>
    <w:rsid w:val="00D1004C"/>
    <w:rsid w:val="00D154C5"/>
    <w:rsid w:val="00D3248B"/>
    <w:rsid w:val="00D46309"/>
    <w:rsid w:val="00D4639D"/>
    <w:rsid w:val="00D51078"/>
    <w:rsid w:val="00D62D6C"/>
    <w:rsid w:val="00D67F7A"/>
    <w:rsid w:val="00D968DC"/>
    <w:rsid w:val="00DB0CB2"/>
    <w:rsid w:val="00DC5241"/>
    <w:rsid w:val="00DD2500"/>
    <w:rsid w:val="00DE3E55"/>
    <w:rsid w:val="00E11C2E"/>
    <w:rsid w:val="00E20E30"/>
    <w:rsid w:val="00E2245E"/>
    <w:rsid w:val="00E23DA0"/>
    <w:rsid w:val="00E247EE"/>
    <w:rsid w:val="00E34DD2"/>
    <w:rsid w:val="00E36F87"/>
    <w:rsid w:val="00E51BD1"/>
    <w:rsid w:val="00E60AA1"/>
    <w:rsid w:val="00E6245D"/>
    <w:rsid w:val="00E6724E"/>
    <w:rsid w:val="00E81D79"/>
    <w:rsid w:val="00E865DB"/>
    <w:rsid w:val="00E977E5"/>
    <w:rsid w:val="00E97961"/>
    <w:rsid w:val="00EA503E"/>
    <w:rsid w:val="00F043C6"/>
    <w:rsid w:val="00F30D68"/>
    <w:rsid w:val="00F3156F"/>
    <w:rsid w:val="00F321AF"/>
    <w:rsid w:val="00F417EC"/>
    <w:rsid w:val="00F43A13"/>
    <w:rsid w:val="00F84EFB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DBF0"/>
  <w15:chartTrackingRefBased/>
  <w15:docId w15:val="{0BBEE64D-ED5C-CB49-91C3-842082AD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22E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E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EB4"/>
    <w:pPr>
      <w:keepNext/>
      <w:keepLines/>
      <w:spacing w:before="40"/>
      <w:ind w:firstLine="36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6E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6E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6E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4E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E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E45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E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E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E45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45"/>
    <w:rPr>
      <w:rFonts w:ascii="Helvetica" w:eastAsia="Times New Roman" w:hAnsi="Helvetica"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85554D"/>
  </w:style>
  <w:style w:type="character" w:customStyle="1" w:styleId="EndnoteTextChar">
    <w:name w:val="Endnote Text Char"/>
    <w:basedOn w:val="DefaultParagraphFont"/>
    <w:link w:val="EndnoteText"/>
    <w:uiPriority w:val="99"/>
    <w:rsid w:val="0085554D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8555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968DC"/>
  </w:style>
  <w:style w:type="character" w:customStyle="1" w:styleId="FootnoteTextChar">
    <w:name w:val="Footnote Text Char"/>
    <w:basedOn w:val="DefaultParagraphFont"/>
    <w:link w:val="FootnoteText"/>
    <w:uiPriority w:val="99"/>
    <w:rsid w:val="00D968DC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D968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DD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DD2"/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266596"/>
    <w:rPr>
      <w:rFonts w:ascii="Helvetica" w:eastAsiaTheme="minorHAnsi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266596"/>
  </w:style>
  <w:style w:type="character" w:customStyle="1" w:styleId="Heading2Char">
    <w:name w:val="Heading 2 Char"/>
    <w:basedOn w:val="DefaultParagraphFont"/>
    <w:link w:val="Heading2"/>
    <w:uiPriority w:val="9"/>
    <w:rsid w:val="00696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E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696E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6EB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96EB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vision">
    <w:name w:val="Revision"/>
    <w:hidden/>
    <w:uiPriority w:val="99"/>
    <w:semiHidden/>
    <w:rsid w:val="001463B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051BF80408545BD5289DA53BF7EC6" ma:contentTypeVersion="12" ma:contentTypeDescription="Create a new document." ma:contentTypeScope="" ma:versionID="45aedd5c3ab6c4e4247419879ac7e058">
  <xsd:schema xmlns:xsd="http://www.w3.org/2001/XMLSchema" xmlns:xs="http://www.w3.org/2001/XMLSchema" xmlns:p="http://schemas.microsoft.com/office/2006/metadata/properties" xmlns:ns2="0e733c55-8ba1-4b93-beb0-f40d47be2d14" xmlns:ns3="177dcb6e-fa4b-433b-9efc-ffe6f39d5a14" targetNamespace="http://schemas.microsoft.com/office/2006/metadata/properties" ma:root="true" ma:fieldsID="703d4e171989db9970e71c34db40f8dd" ns2:_="" ns3:_="">
    <xsd:import namespace="0e733c55-8ba1-4b93-beb0-f40d47be2d14"/>
    <xsd:import namespace="177dcb6e-fa4b-433b-9efc-ffe6f39d5a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33c55-8ba1-4b93-beb0-f40d47be2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dcb6e-fa4b-433b-9efc-ffe6f39d5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DBB03-F046-4713-9ED9-35B42F9D8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B6DC8-18FE-4E69-ADA6-5AC9DEEBF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1B83FE-BD68-4E86-B6D4-B7DE4C94D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33c55-8ba1-4b93-beb0-f40d47be2d14"/>
    <ds:schemaRef ds:uri="177dcb6e-fa4b-433b-9efc-ffe6f39d5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Chemistry Central Instrum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Rithner</dc:creator>
  <cp:keywords/>
  <dc:description/>
  <cp:lastModifiedBy>Denef,Karolien</cp:lastModifiedBy>
  <cp:revision>2</cp:revision>
  <cp:lastPrinted>2016-04-14T18:42:00Z</cp:lastPrinted>
  <dcterms:created xsi:type="dcterms:W3CDTF">2020-09-25T22:32:00Z</dcterms:created>
  <dcterms:modified xsi:type="dcterms:W3CDTF">2020-09-25T22:32:00Z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0x010100437051BF80408545BD5289DA53BF7EC6</vt:lpwstr>
  </property>
  <property fmtid="{D5CDD505-2E9C-101B-9397-08002B2CF9AE}" pid="3" name="AuthorIds_UIVersion_1536">
    <vt:lpwstr>12</vt:lpwstr>
  </property>
</Properties>
</file>